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89"/>
        <w:gridCol w:w="4963"/>
        <w:gridCol w:w="1419"/>
        <w:gridCol w:w="1641"/>
      </w:tblGrid>
      <w:tr w:rsidR="00F33A27" w:rsidRPr="005A2F30" w:rsidTr="005A2F30">
        <w:trPr>
          <w:trHeight w:val="416"/>
          <w:jc w:val="center"/>
        </w:trPr>
        <w:tc>
          <w:tcPr>
            <w:tcW w:w="1324" w:type="pct"/>
            <w:shd w:val="clear" w:color="auto" w:fill="F2F2F2"/>
            <w:vAlign w:val="center"/>
            <w:hideMark/>
          </w:tcPr>
          <w:p w:rsidR="00F33A27" w:rsidRPr="005A2F30" w:rsidRDefault="00F33A27">
            <w:pPr>
              <w:pStyle w:val="Sinespaciado"/>
              <w:rPr>
                <w:rFonts w:ascii="Raleway" w:hAnsi="Raleway"/>
                <w:sz w:val="18"/>
                <w:szCs w:val="16"/>
              </w:rPr>
            </w:pPr>
            <w:bookmarkStart w:id="0" w:name="_Hlk534377684"/>
            <w:r w:rsidRPr="005A2F30">
              <w:rPr>
                <w:rFonts w:ascii="Raleway" w:hAnsi="Raleway"/>
                <w:sz w:val="18"/>
                <w:szCs w:val="16"/>
              </w:rPr>
              <w:t>Razón Social de la Entidad Jurídica / Legal</w:t>
            </w:r>
          </w:p>
        </w:tc>
        <w:tc>
          <w:tcPr>
            <w:tcW w:w="2274" w:type="pct"/>
            <w:vAlign w:val="center"/>
          </w:tcPr>
          <w:p w:rsidR="00F33A27" w:rsidRPr="005A2F30" w:rsidRDefault="00F33A27">
            <w:pPr>
              <w:pStyle w:val="Sinespaciado"/>
              <w:rPr>
                <w:rFonts w:ascii="Raleway" w:hAnsi="Raleway"/>
                <w:sz w:val="16"/>
                <w:szCs w:val="16"/>
              </w:rPr>
            </w:pPr>
          </w:p>
        </w:tc>
        <w:tc>
          <w:tcPr>
            <w:tcW w:w="650" w:type="pct"/>
            <w:shd w:val="clear" w:color="auto" w:fill="F2F2F2"/>
            <w:vAlign w:val="center"/>
          </w:tcPr>
          <w:p w:rsidR="00F33A27" w:rsidRPr="005A2F30" w:rsidRDefault="00F33A27">
            <w:pPr>
              <w:pStyle w:val="Sinespaciado"/>
              <w:rPr>
                <w:rFonts w:ascii="Raleway" w:hAnsi="Raleway"/>
                <w:sz w:val="18"/>
                <w:szCs w:val="18"/>
              </w:rPr>
            </w:pPr>
            <w:r w:rsidRPr="005A2F30">
              <w:rPr>
                <w:rFonts w:ascii="Raleway" w:hAnsi="Raleway"/>
                <w:sz w:val="18"/>
                <w:szCs w:val="18"/>
              </w:rPr>
              <w:t>Código de Acreditación</w:t>
            </w:r>
          </w:p>
        </w:tc>
        <w:tc>
          <w:tcPr>
            <w:tcW w:w="752" w:type="pct"/>
            <w:vAlign w:val="center"/>
          </w:tcPr>
          <w:p w:rsidR="00F33A27" w:rsidRPr="005A2F30" w:rsidRDefault="00F33A27">
            <w:pPr>
              <w:pStyle w:val="Sinespaciado"/>
              <w:rPr>
                <w:rFonts w:ascii="Raleway" w:hAnsi="Raleway"/>
                <w:sz w:val="16"/>
                <w:szCs w:val="16"/>
              </w:rPr>
            </w:pPr>
          </w:p>
        </w:tc>
      </w:tr>
      <w:tr w:rsidR="00F33A27" w:rsidRPr="005A2F30" w:rsidTr="005A2F30">
        <w:trPr>
          <w:trHeight w:val="416"/>
          <w:jc w:val="center"/>
        </w:trPr>
        <w:tc>
          <w:tcPr>
            <w:tcW w:w="1324" w:type="pct"/>
            <w:shd w:val="clear" w:color="auto" w:fill="F2F2F2"/>
            <w:vAlign w:val="center"/>
            <w:hideMark/>
          </w:tcPr>
          <w:p w:rsidR="00F33A27" w:rsidRPr="005A2F30" w:rsidRDefault="00F33A27">
            <w:pPr>
              <w:pStyle w:val="Sinespaciado"/>
              <w:rPr>
                <w:rFonts w:ascii="Raleway" w:hAnsi="Raleway"/>
                <w:sz w:val="18"/>
                <w:szCs w:val="16"/>
              </w:rPr>
            </w:pPr>
            <w:r w:rsidRPr="005A2F30">
              <w:rPr>
                <w:rFonts w:ascii="Raleway" w:hAnsi="Raleway"/>
                <w:sz w:val="18"/>
                <w:szCs w:val="16"/>
              </w:rPr>
              <w:t>Nombre del Organismo de Certificación de Sistemas de Gestión</w:t>
            </w:r>
          </w:p>
        </w:tc>
        <w:tc>
          <w:tcPr>
            <w:tcW w:w="3676" w:type="pct"/>
            <w:gridSpan w:val="3"/>
            <w:vAlign w:val="center"/>
          </w:tcPr>
          <w:p w:rsidR="00F33A27" w:rsidRPr="005A2F30" w:rsidRDefault="00F33A27">
            <w:pPr>
              <w:pStyle w:val="Sinespaciado"/>
              <w:rPr>
                <w:rFonts w:ascii="Raleway" w:hAnsi="Raleway"/>
                <w:sz w:val="16"/>
                <w:szCs w:val="16"/>
              </w:rPr>
            </w:pPr>
          </w:p>
        </w:tc>
      </w:tr>
      <w:tr w:rsidR="00F33A27" w:rsidRPr="005A2F30" w:rsidTr="005A2F30">
        <w:trPr>
          <w:trHeight w:val="416"/>
          <w:jc w:val="center"/>
        </w:trPr>
        <w:tc>
          <w:tcPr>
            <w:tcW w:w="1324" w:type="pct"/>
            <w:shd w:val="clear" w:color="auto" w:fill="F2F2F2"/>
            <w:vAlign w:val="center"/>
            <w:hideMark/>
          </w:tcPr>
          <w:p w:rsidR="00F33A27" w:rsidRPr="005A2F30" w:rsidRDefault="00F33A27">
            <w:pPr>
              <w:pStyle w:val="Sinespaciado"/>
              <w:rPr>
                <w:rFonts w:ascii="Raleway" w:hAnsi="Raleway"/>
                <w:sz w:val="18"/>
                <w:szCs w:val="16"/>
              </w:rPr>
            </w:pPr>
            <w:r w:rsidRPr="005A2F30">
              <w:rPr>
                <w:rFonts w:ascii="Raleway" w:hAnsi="Raleway"/>
                <w:sz w:val="18"/>
                <w:szCs w:val="16"/>
              </w:rPr>
              <w:t>Nombre del Evaluador / Experto de ONAC</w:t>
            </w:r>
          </w:p>
        </w:tc>
        <w:tc>
          <w:tcPr>
            <w:tcW w:w="3676" w:type="pct"/>
            <w:gridSpan w:val="3"/>
            <w:vAlign w:val="center"/>
          </w:tcPr>
          <w:p w:rsidR="00F33A27" w:rsidRPr="005A2F30" w:rsidRDefault="00F33A27">
            <w:pPr>
              <w:pStyle w:val="Sinespaciado"/>
              <w:rPr>
                <w:rFonts w:ascii="Raleway" w:hAnsi="Raleway"/>
                <w:sz w:val="16"/>
                <w:szCs w:val="16"/>
              </w:rPr>
            </w:pPr>
          </w:p>
        </w:tc>
      </w:tr>
      <w:tr w:rsidR="00F33A27" w:rsidRPr="005A2F30" w:rsidTr="005A2F30">
        <w:trPr>
          <w:trHeight w:val="412"/>
          <w:jc w:val="center"/>
        </w:trPr>
        <w:tc>
          <w:tcPr>
            <w:tcW w:w="1324" w:type="pct"/>
            <w:shd w:val="clear" w:color="auto" w:fill="F2F2F2"/>
            <w:vAlign w:val="center"/>
            <w:hideMark/>
          </w:tcPr>
          <w:p w:rsidR="00F33A27" w:rsidRPr="005A2F30" w:rsidRDefault="00F33A27">
            <w:pPr>
              <w:pStyle w:val="Sinespaciado"/>
              <w:rPr>
                <w:rFonts w:ascii="Raleway" w:hAnsi="Raleway"/>
                <w:sz w:val="18"/>
                <w:szCs w:val="16"/>
              </w:rPr>
            </w:pPr>
            <w:r w:rsidRPr="005A2F30">
              <w:rPr>
                <w:rFonts w:ascii="Raleway" w:hAnsi="Raleway"/>
                <w:sz w:val="18"/>
                <w:szCs w:val="16"/>
              </w:rPr>
              <w:t>Fecha</w:t>
            </w:r>
          </w:p>
        </w:tc>
        <w:tc>
          <w:tcPr>
            <w:tcW w:w="3676" w:type="pct"/>
            <w:gridSpan w:val="3"/>
            <w:vAlign w:val="center"/>
          </w:tcPr>
          <w:p w:rsidR="00F33A27" w:rsidRPr="005A2F30" w:rsidRDefault="00F33A27">
            <w:pPr>
              <w:pStyle w:val="Sinespaciado"/>
              <w:rPr>
                <w:rFonts w:ascii="Raleway" w:hAnsi="Raleway"/>
                <w:sz w:val="16"/>
                <w:szCs w:val="16"/>
              </w:rPr>
            </w:pPr>
          </w:p>
        </w:tc>
      </w:tr>
      <w:bookmarkEnd w:id="0"/>
    </w:tbl>
    <w:p w:rsidR="00F33A27" w:rsidRPr="005A2F30" w:rsidRDefault="00F33A27" w:rsidP="0058303D">
      <w:pPr>
        <w:contextualSpacing/>
        <w:rPr>
          <w:rFonts w:ascii="Raleway" w:hAnsi="Raleway"/>
        </w:rPr>
      </w:pPr>
    </w:p>
    <w:p w:rsidR="004F5B9F" w:rsidRPr="005A2F30" w:rsidRDefault="004F5B9F" w:rsidP="0058303D">
      <w:pPr>
        <w:contextualSpacing/>
        <w:jc w:val="both"/>
        <w:rPr>
          <w:rFonts w:ascii="Raleway" w:hAnsi="Raleway"/>
        </w:rPr>
      </w:pPr>
      <w:r w:rsidRPr="005A2F30">
        <w:rPr>
          <w:rFonts w:ascii="Raleway" w:hAnsi="Raleway"/>
        </w:rPr>
        <w:t>El Organismo de Certificación de Sistemas de Gestión debe completar únicamente la columna “Documento” con el numeral/capítulo, código, título y versión del documento de su Sistema de Gestión donde da cumplimiento al requisito establecido.</w:t>
      </w:r>
    </w:p>
    <w:p w:rsidR="00E96A8A" w:rsidRPr="005A2F30" w:rsidRDefault="00E96A8A" w:rsidP="0058303D">
      <w:pPr>
        <w:contextualSpacing/>
        <w:rPr>
          <w:rFonts w:ascii="Raleway" w:hAnsi="Raleway" w:cs="Arial"/>
          <w:szCs w:val="18"/>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4815"/>
        <w:gridCol w:w="5975"/>
      </w:tblGrid>
      <w:tr w:rsidR="00361D54" w:rsidRPr="005A2F30" w:rsidTr="005A2F30">
        <w:trPr>
          <w:trHeight w:val="283"/>
          <w:tblHeader/>
          <w:jc w:val="center"/>
        </w:trPr>
        <w:tc>
          <w:tcPr>
            <w:tcW w:w="4815" w:type="dxa"/>
            <w:shd w:val="clear" w:color="auto" w:fill="0000CC"/>
            <w:vAlign w:val="center"/>
          </w:tcPr>
          <w:p w:rsidR="00361D54" w:rsidRPr="005A2F30" w:rsidRDefault="00361D54" w:rsidP="0058303D">
            <w:pPr>
              <w:autoSpaceDE w:val="0"/>
              <w:autoSpaceDN w:val="0"/>
              <w:adjustRightInd w:val="0"/>
              <w:contextualSpacing/>
              <w:jc w:val="center"/>
              <w:rPr>
                <w:rFonts w:ascii="Raleway" w:hAnsi="Raleway" w:cs="Arial"/>
                <w:b/>
                <w:bCs/>
                <w:szCs w:val="18"/>
                <w:lang w:val="es-ES_tradnl"/>
              </w:rPr>
            </w:pPr>
            <w:r w:rsidRPr="005A2F30">
              <w:rPr>
                <w:rFonts w:ascii="Raleway" w:hAnsi="Raleway" w:cs="Arial"/>
                <w:b/>
                <w:bCs/>
                <w:szCs w:val="18"/>
                <w:lang w:val="es-ES_tradnl"/>
              </w:rPr>
              <w:t>REQUISITO DE NORMA ISO/IEC TS 17021-</w:t>
            </w:r>
            <w:r w:rsidR="00FB45E0" w:rsidRPr="005A2F30">
              <w:rPr>
                <w:rFonts w:ascii="Raleway" w:hAnsi="Raleway" w:cs="Arial"/>
                <w:b/>
                <w:bCs/>
                <w:szCs w:val="18"/>
                <w:lang w:val="es-ES_tradnl"/>
              </w:rPr>
              <w:t>9</w:t>
            </w:r>
            <w:r w:rsidRPr="005A2F30">
              <w:rPr>
                <w:rFonts w:ascii="Raleway" w:hAnsi="Raleway" w:cs="Arial"/>
                <w:b/>
                <w:bCs/>
                <w:szCs w:val="18"/>
                <w:lang w:val="es-ES_tradnl"/>
              </w:rPr>
              <w:t>:</w:t>
            </w:r>
            <w:r w:rsidR="00FB45E0" w:rsidRPr="005A2F30">
              <w:rPr>
                <w:rFonts w:ascii="Raleway" w:hAnsi="Raleway" w:cs="Arial"/>
                <w:b/>
                <w:bCs/>
                <w:szCs w:val="18"/>
                <w:lang w:val="es-ES_tradnl"/>
              </w:rPr>
              <w:t>2016</w:t>
            </w:r>
          </w:p>
        </w:tc>
        <w:tc>
          <w:tcPr>
            <w:tcW w:w="5975" w:type="dxa"/>
            <w:shd w:val="clear" w:color="auto" w:fill="0000CC"/>
            <w:vAlign w:val="center"/>
          </w:tcPr>
          <w:p w:rsidR="00361D54" w:rsidRPr="005A2F30" w:rsidRDefault="00361D54" w:rsidP="0058303D">
            <w:pPr>
              <w:autoSpaceDE w:val="0"/>
              <w:autoSpaceDN w:val="0"/>
              <w:adjustRightInd w:val="0"/>
              <w:contextualSpacing/>
              <w:jc w:val="center"/>
              <w:rPr>
                <w:rFonts w:ascii="Raleway" w:hAnsi="Raleway" w:cs="Arial"/>
                <w:b/>
                <w:bCs/>
                <w:szCs w:val="18"/>
                <w:lang w:val="es-ES_tradnl"/>
              </w:rPr>
            </w:pPr>
            <w:r w:rsidRPr="005A2F30">
              <w:rPr>
                <w:rFonts w:ascii="Raleway" w:hAnsi="Raleway" w:cs="Arial"/>
                <w:b/>
                <w:bCs/>
                <w:szCs w:val="18"/>
                <w:lang w:val="es-ES_tradnl"/>
              </w:rPr>
              <w:t>DOCUMENTO</w:t>
            </w:r>
          </w:p>
        </w:tc>
      </w:tr>
      <w:tr w:rsidR="00361D54" w:rsidRPr="005A2F30" w:rsidTr="005A2F30">
        <w:trPr>
          <w:trHeight w:val="283"/>
          <w:jc w:val="center"/>
        </w:trPr>
        <w:tc>
          <w:tcPr>
            <w:tcW w:w="4815" w:type="dxa"/>
            <w:shd w:val="pct5" w:color="auto" w:fill="auto"/>
            <w:vAlign w:val="center"/>
          </w:tcPr>
          <w:p w:rsidR="00361D54" w:rsidRPr="005A2F30" w:rsidRDefault="00361D54" w:rsidP="0058303D">
            <w:pPr>
              <w:tabs>
                <w:tab w:val="left" w:pos="360"/>
                <w:tab w:val="left" w:pos="720"/>
              </w:tabs>
              <w:suppressAutoHyphens/>
              <w:contextualSpacing/>
              <w:jc w:val="both"/>
              <w:rPr>
                <w:rFonts w:ascii="Raleway" w:hAnsi="Raleway" w:cs="Arial"/>
                <w:b/>
                <w:bCs/>
                <w:i/>
                <w:iCs/>
                <w:szCs w:val="18"/>
              </w:rPr>
            </w:pPr>
            <w:r w:rsidRPr="005A2F30">
              <w:rPr>
                <w:rFonts w:ascii="Raleway" w:hAnsi="Raleway" w:cs="Arial"/>
                <w:b/>
                <w:bCs/>
                <w:color w:val="000000"/>
                <w:szCs w:val="18"/>
                <w:lang w:val="es-CR" w:eastAsia="es-CR"/>
              </w:rPr>
              <w:t>4. REQUISITOS GENÉRICOS DE COMPETENCIA</w:t>
            </w:r>
          </w:p>
        </w:tc>
        <w:tc>
          <w:tcPr>
            <w:tcW w:w="5975" w:type="dxa"/>
            <w:shd w:val="pct5" w:color="auto" w:fill="auto"/>
            <w:vAlign w:val="center"/>
          </w:tcPr>
          <w:p w:rsidR="00361D54" w:rsidRPr="005A2F30" w:rsidRDefault="00361D54" w:rsidP="0058303D">
            <w:pPr>
              <w:tabs>
                <w:tab w:val="left" w:pos="360"/>
                <w:tab w:val="left" w:pos="720"/>
              </w:tabs>
              <w:suppressAutoHyphens/>
              <w:contextualSpacing/>
              <w:jc w:val="center"/>
              <w:rPr>
                <w:rFonts w:ascii="Raleway" w:hAnsi="Raleway" w:cs="Arial"/>
                <w:b/>
                <w:bCs/>
                <w:iCs/>
                <w:szCs w:val="18"/>
              </w:rPr>
            </w:pPr>
          </w:p>
        </w:tc>
      </w:tr>
      <w:tr w:rsidR="00361D54" w:rsidRPr="005A2F30" w:rsidTr="005A2F30">
        <w:trPr>
          <w:jc w:val="center"/>
        </w:trPr>
        <w:tc>
          <w:tcPr>
            <w:tcW w:w="4815" w:type="dxa"/>
          </w:tcPr>
          <w:p w:rsidR="00FB45E0" w:rsidRPr="005A2F30" w:rsidRDefault="00361D54" w:rsidP="0058303D">
            <w:pPr>
              <w:pStyle w:val="Default"/>
              <w:contextualSpacing/>
              <w:jc w:val="both"/>
              <w:rPr>
                <w:rFonts w:ascii="Raleway" w:hAnsi="Raleway"/>
                <w:bCs/>
                <w:iCs/>
                <w:sz w:val="18"/>
                <w:szCs w:val="18"/>
              </w:rPr>
            </w:pPr>
            <w:r w:rsidRPr="005A2F30">
              <w:rPr>
                <w:rFonts w:ascii="Raleway" w:hAnsi="Raleway"/>
                <w:bCs/>
                <w:iCs/>
                <w:sz w:val="18"/>
                <w:szCs w:val="18"/>
              </w:rPr>
              <w:t>El organismo de certificación debe definir los requisitos de competencia para cada función de certificación como se indica en la Tabla A.1 de la Norma ISO/IEC 17021-1:2015.</w:t>
            </w:r>
            <w:r w:rsidR="00FB45E0" w:rsidRPr="005A2F30">
              <w:rPr>
                <w:rFonts w:ascii="Raleway" w:hAnsi="Raleway"/>
                <w:bCs/>
                <w:iCs/>
                <w:sz w:val="18"/>
                <w:szCs w:val="18"/>
              </w:rPr>
              <w:t xml:space="preserve"> </w:t>
            </w:r>
            <w:r w:rsidRPr="005A2F30">
              <w:rPr>
                <w:rFonts w:ascii="Raleway" w:hAnsi="Raleway"/>
                <w:bCs/>
                <w:iCs/>
                <w:sz w:val="18"/>
                <w:szCs w:val="18"/>
              </w:rPr>
              <w:t>Al definir estos requisitos de competencia, el organismo d</w:t>
            </w:r>
            <w:bookmarkStart w:id="1" w:name="_GoBack"/>
            <w:bookmarkEnd w:id="1"/>
            <w:r w:rsidRPr="005A2F30">
              <w:rPr>
                <w:rFonts w:ascii="Raleway" w:hAnsi="Raleway"/>
                <w:bCs/>
                <w:iCs/>
                <w:sz w:val="18"/>
                <w:szCs w:val="18"/>
              </w:rPr>
              <w:t>e certificación debe tener en cuenta todos los requisitos especificados en la Norma ISO/IEC 17021-1, así como aquellos especificados en los capítulos 5, 6</w:t>
            </w:r>
            <w:r w:rsidR="00FB45E0" w:rsidRPr="005A2F30">
              <w:rPr>
                <w:rFonts w:ascii="Raleway" w:hAnsi="Raleway"/>
                <w:bCs/>
                <w:iCs/>
                <w:sz w:val="18"/>
                <w:szCs w:val="18"/>
              </w:rPr>
              <w:t xml:space="preserve">. </w:t>
            </w:r>
          </w:p>
          <w:p w:rsidR="00361D54" w:rsidRPr="005A2F30" w:rsidRDefault="00361D54" w:rsidP="0058303D">
            <w:pPr>
              <w:pStyle w:val="Default"/>
              <w:contextualSpacing/>
              <w:jc w:val="both"/>
              <w:rPr>
                <w:rFonts w:ascii="Raleway" w:hAnsi="Raleway"/>
                <w:bCs/>
                <w:iCs/>
                <w:sz w:val="18"/>
                <w:szCs w:val="18"/>
              </w:rPr>
            </w:pPr>
          </w:p>
          <w:p w:rsidR="00361D54" w:rsidRPr="005A2F30" w:rsidRDefault="00361D54" w:rsidP="0058303D">
            <w:pPr>
              <w:autoSpaceDE w:val="0"/>
              <w:autoSpaceDN w:val="0"/>
              <w:adjustRightInd w:val="0"/>
              <w:contextualSpacing/>
              <w:jc w:val="both"/>
              <w:rPr>
                <w:rFonts w:ascii="Raleway" w:hAnsi="Raleway"/>
                <w:bCs/>
                <w:iCs/>
                <w:szCs w:val="18"/>
              </w:rPr>
            </w:pPr>
            <w:r w:rsidRPr="005A2F30">
              <w:rPr>
                <w:rFonts w:ascii="Raleway" w:hAnsi="Raleway"/>
                <w:bCs/>
                <w:iCs/>
                <w:szCs w:val="18"/>
              </w:rPr>
              <w:t>NOTA</w:t>
            </w:r>
            <w:r w:rsidR="00FB45E0" w:rsidRPr="005A2F30">
              <w:rPr>
                <w:rFonts w:ascii="Raleway" w:hAnsi="Raleway"/>
                <w:bCs/>
                <w:iCs/>
                <w:szCs w:val="18"/>
              </w:rPr>
              <w:t xml:space="preserve"> 1</w:t>
            </w:r>
            <w:r w:rsidRPr="005A2F30">
              <w:rPr>
                <w:rFonts w:ascii="Raleway" w:hAnsi="Raleway"/>
                <w:bCs/>
                <w:iCs/>
                <w:szCs w:val="18"/>
              </w:rPr>
              <w:t xml:space="preserve">: </w:t>
            </w:r>
            <w:r w:rsidR="00FB45E0" w:rsidRPr="005A2F30">
              <w:rPr>
                <w:rFonts w:ascii="Raleway" w:hAnsi="Raleway"/>
                <w:bCs/>
                <w:iCs/>
                <w:szCs w:val="18"/>
              </w:rPr>
              <w:t>El Anexo A proporciona un resumen de los requisitos de competencia para el personal involucrado en las funciones específicas de certificación.</w:t>
            </w:r>
          </w:p>
          <w:p w:rsidR="00FB45E0" w:rsidRPr="005A2F30" w:rsidRDefault="00FB45E0" w:rsidP="0058303D">
            <w:pPr>
              <w:autoSpaceDE w:val="0"/>
              <w:autoSpaceDN w:val="0"/>
              <w:adjustRightInd w:val="0"/>
              <w:contextualSpacing/>
              <w:jc w:val="both"/>
              <w:rPr>
                <w:rFonts w:ascii="Raleway" w:hAnsi="Raleway" w:cs="Arial"/>
                <w:color w:val="000000"/>
                <w:szCs w:val="18"/>
              </w:rPr>
            </w:pPr>
          </w:p>
          <w:p w:rsidR="00FB45E0" w:rsidRPr="005A2F30" w:rsidRDefault="00FB45E0" w:rsidP="0058303D">
            <w:pPr>
              <w:autoSpaceDE w:val="0"/>
              <w:autoSpaceDN w:val="0"/>
              <w:adjustRightInd w:val="0"/>
              <w:contextualSpacing/>
              <w:jc w:val="both"/>
              <w:rPr>
                <w:rFonts w:ascii="Raleway" w:hAnsi="Raleway" w:cs="Arial"/>
                <w:color w:val="000000"/>
                <w:szCs w:val="18"/>
                <w:lang w:val="es-CR" w:eastAsia="es-CR"/>
              </w:rPr>
            </w:pPr>
            <w:r w:rsidRPr="005A2F30">
              <w:rPr>
                <w:rFonts w:ascii="Raleway" w:hAnsi="Raleway" w:cs="Arial"/>
                <w:color w:val="000000"/>
                <w:szCs w:val="18"/>
              </w:rPr>
              <w:t>NOTA 2: La información sobre los principios de la auditoría se proporcionan en la Norma ISO 19011.</w:t>
            </w:r>
          </w:p>
        </w:tc>
        <w:tc>
          <w:tcPr>
            <w:tcW w:w="5975" w:type="dxa"/>
          </w:tcPr>
          <w:p w:rsidR="00361D54" w:rsidRPr="005A2F30" w:rsidRDefault="00361D54" w:rsidP="0058303D">
            <w:pPr>
              <w:pStyle w:val="Default"/>
              <w:contextualSpacing/>
              <w:jc w:val="both"/>
              <w:rPr>
                <w:rFonts w:ascii="Raleway" w:hAnsi="Raleway"/>
                <w:bCs/>
                <w:iCs/>
                <w:color w:val="auto"/>
                <w:sz w:val="18"/>
                <w:szCs w:val="18"/>
              </w:rPr>
            </w:pPr>
          </w:p>
        </w:tc>
      </w:tr>
      <w:tr w:rsidR="00361D54" w:rsidRPr="005A2F30" w:rsidTr="005A2F30">
        <w:trPr>
          <w:jc w:val="center"/>
        </w:trPr>
        <w:tc>
          <w:tcPr>
            <w:tcW w:w="4815" w:type="dxa"/>
            <w:shd w:val="clear" w:color="auto" w:fill="F2F2F2"/>
          </w:tcPr>
          <w:p w:rsidR="00361D54" w:rsidRPr="005A2F30" w:rsidRDefault="00361D54" w:rsidP="0058303D">
            <w:pPr>
              <w:tabs>
                <w:tab w:val="left" w:pos="360"/>
                <w:tab w:val="left" w:pos="720"/>
              </w:tabs>
              <w:suppressAutoHyphens/>
              <w:contextualSpacing/>
              <w:jc w:val="both"/>
              <w:rPr>
                <w:rFonts w:ascii="Raleway" w:hAnsi="Raleway" w:cs="Arial"/>
                <w:b/>
                <w:szCs w:val="18"/>
              </w:rPr>
            </w:pPr>
            <w:r w:rsidRPr="005A2F30">
              <w:rPr>
                <w:rFonts w:ascii="Raleway" w:hAnsi="Raleway" w:cs="Arial"/>
                <w:b/>
                <w:bCs/>
                <w:color w:val="000000"/>
                <w:szCs w:val="18"/>
                <w:lang w:val="es-CR" w:eastAsia="es-CR"/>
              </w:rPr>
              <w:t xml:space="preserve">5. </w:t>
            </w:r>
            <w:r w:rsidRPr="005A2F30">
              <w:rPr>
                <w:rFonts w:ascii="Raleway" w:hAnsi="Raleway"/>
                <w:b/>
                <w:szCs w:val="18"/>
              </w:rPr>
              <w:t xml:space="preserve">REQUISITOS DE COMPETENCIA PARA LOS EQUIPOS </w:t>
            </w:r>
            <w:r w:rsidR="00FB45E0" w:rsidRPr="005A2F30">
              <w:rPr>
                <w:rFonts w:ascii="Raleway" w:hAnsi="Raleway"/>
                <w:b/>
                <w:szCs w:val="18"/>
              </w:rPr>
              <w:t>AUDITORES DEL SGAS</w:t>
            </w:r>
          </w:p>
        </w:tc>
        <w:tc>
          <w:tcPr>
            <w:tcW w:w="5975" w:type="dxa"/>
            <w:shd w:val="clear" w:color="auto" w:fill="F2F2F2"/>
            <w:vAlign w:val="center"/>
          </w:tcPr>
          <w:p w:rsidR="00361D54" w:rsidRPr="005A2F30" w:rsidRDefault="00361D54" w:rsidP="0058303D">
            <w:pPr>
              <w:autoSpaceDE w:val="0"/>
              <w:autoSpaceDN w:val="0"/>
              <w:adjustRightInd w:val="0"/>
              <w:contextualSpacing/>
              <w:jc w:val="center"/>
              <w:rPr>
                <w:rFonts w:ascii="Raleway" w:hAnsi="Raleway" w:cs="Arial"/>
                <w:b/>
                <w:bCs/>
                <w:szCs w:val="18"/>
                <w:lang w:val="es-ES_tradnl"/>
              </w:rPr>
            </w:pPr>
            <w:r w:rsidRPr="005A2F30">
              <w:rPr>
                <w:rFonts w:ascii="Raleway" w:hAnsi="Raleway" w:cs="Arial"/>
                <w:b/>
                <w:bCs/>
                <w:szCs w:val="18"/>
                <w:lang w:val="es-ES_tradnl"/>
              </w:rPr>
              <w:t>DOCUMENTO</w:t>
            </w:r>
          </w:p>
        </w:tc>
      </w:tr>
      <w:tr w:rsidR="00361D54" w:rsidRPr="005A2F30" w:rsidTr="005A2F30">
        <w:trPr>
          <w:trHeight w:val="537"/>
          <w:jc w:val="center"/>
        </w:trPr>
        <w:tc>
          <w:tcPr>
            <w:tcW w:w="4815" w:type="dxa"/>
          </w:tcPr>
          <w:p w:rsidR="00361D54" w:rsidRPr="005A2F30" w:rsidRDefault="00361D54" w:rsidP="0058303D">
            <w:pPr>
              <w:pStyle w:val="Textoindependiente"/>
              <w:contextualSpacing/>
              <w:rPr>
                <w:rFonts w:ascii="Raleway" w:hAnsi="Raleway"/>
                <w:b/>
                <w:color w:val="auto"/>
                <w:sz w:val="18"/>
                <w:szCs w:val="18"/>
              </w:rPr>
            </w:pPr>
            <w:r w:rsidRPr="005A2F30">
              <w:rPr>
                <w:rFonts w:ascii="Raleway" w:hAnsi="Raleway"/>
                <w:b/>
                <w:color w:val="auto"/>
                <w:sz w:val="18"/>
                <w:szCs w:val="18"/>
              </w:rPr>
              <w:t>5.1 GENERALIDADES</w:t>
            </w:r>
          </w:p>
          <w:p w:rsidR="00361D54" w:rsidRPr="005A2F30" w:rsidRDefault="00FB45E0" w:rsidP="0058303D">
            <w:pPr>
              <w:pStyle w:val="Textoindependiente"/>
              <w:contextualSpacing/>
              <w:rPr>
                <w:rFonts w:ascii="Raleway" w:hAnsi="Raleway"/>
                <w:color w:val="auto"/>
                <w:sz w:val="18"/>
                <w:szCs w:val="18"/>
              </w:rPr>
            </w:pPr>
            <w:r w:rsidRPr="005A2F30">
              <w:rPr>
                <w:rFonts w:ascii="Raleway" w:hAnsi="Raleway"/>
                <w:color w:val="auto"/>
                <w:sz w:val="18"/>
                <w:szCs w:val="18"/>
              </w:rPr>
              <w:t>Todo el personal involucrado en las auditorías de SGAS debe tener un nivel de competencia que incluya las competencias genéricas descritas en la Norma ISO/IEC 17021-1, comprender los requisitos de la Norma ISO 37001</w:t>
            </w:r>
            <w:r w:rsidR="001044BA" w:rsidRPr="005A2F30">
              <w:rPr>
                <w:rFonts w:ascii="Raleway" w:hAnsi="Raleway"/>
                <w:color w:val="auto"/>
                <w:sz w:val="18"/>
                <w:szCs w:val="18"/>
              </w:rPr>
              <w:t xml:space="preserve"> y la relación entre esos requisitos, así como el conocimiento del SGAS descrito en los apartados de 5.2 a 5.8.</w:t>
            </w:r>
          </w:p>
          <w:p w:rsidR="00361D54" w:rsidRPr="005A2F30" w:rsidRDefault="00361D54" w:rsidP="0058303D">
            <w:pPr>
              <w:pStyle w:val="Textoindependiente"/>
              <w:contextualSpacing/>
              <w:rPr>
                <w:rFonts w:ascii="Raleway" w:hAnsi="Raleway"/>
                <w:color w:val="auto"/>
                <w:sz w:val="18"/>
                <w:szCs w:val="18"/>
              </w:rPr>
            </w:pPr>
          </w:p>
          <w:p w:rsidR="00361D54" w:rsidRPr="005A2F30" w:rsidRDefault="00361D54" w:rsidP="0058303D">
            <w:pPr>
              <w:pStyle w:val="Textoindependiente"/>
              <w:contextualSpacing/>
              <w:rPr>
                <w:rFonts w:ascii="Raleway" w:hAnsi="Raleway"/>
                <w:b/>
                <w:color w:val="auto"/>
                <w:sz w:val="18"/>
                <w:szCs w:val="18"/>
              </w:rPr>
            </w:pPr>
            <w:r w:rsidRPr="005A2F30">
              <w:rPr>
                <w:rFonts w:ascii="Raleway" w:hAnsi="Raleway"/>
                <w:color w:val="auto"/>
                <w:sz w:val="18"/>
                <w:szCs w:val="18"/>
              </w:rPr>
              <w:t>NOTA No es necesario que cada miembro del equipo auditor tenga la misma competencia, sin embargo, la competencia colectiva del equipo auditor tiene que ser suficiente para lograr los objetivos de la auditoría.</w:t>
            </w:r>
          </w:p>
        </w:tc>
        <w:tc>
          <w:tcPr>
            <w:tcW w:w="5975" w:type="dxa"/>
          </w:tcPr>
          <w:p w:rsidR="00361D54" w:rsidRPr="005A2F30" w:rsidRDefault="00361D54" w:rsidP="0058303D">
            <w:pPr>
              <w:pStyle w:val="Textoindependiente"/>
              <w:contextualSpacing/>
              <w:rPr>
                <w:rFonts w:ascii="Raleway" w:hAnsi="Raleway"/>
                <w:color w:val="auto"/>
                <w:sz w:val="18"/>
                <w:szCs w:val="18"/>
              </w:rPr>
            </w:pPr>
          </w:p>
        </w:tc>
      </w:tr>
      <w:tr w:rsidR="00361D54" w:rsidRPr="005A2F30" w:rsidTr="005A2F30">
        <w:trPr>
          <w:trHeight w:val="954"/>
          <w:jc w:val="center"/>
        </w:trPr>
        <w:tc>
          <w:tcPr>
            <w:tcW w:w="4815" w:type="dxa"/>
          </w:tcPr>
          <w:p w:rsidR="00361D54" w:rsidRPr="005A2F30" w:rsidRDefault="00361D54" w:rsidP="0058303D">
            <w:pPr>
              <w:contextualSpacing/>
              <w:jc w:val="both"/>
              <w:rPr>
                <w:rFonts w:ascii="Raleway" w:hAnsi="Raleway" w:cs="Arial"/>
                <w:b/>
                <w:szCs w:val="18"/>
              </w:rPr>
            </w:pPr>
            <w:r w:rsidRPr="005A2F30">
              <w:rPr>
                <w:rFonts w:ascii="Raleway" w:hAnsi="Raleway" w:cs="Arial"/>
                <w:b/>
                <w:szCs w:val="18"/>
              </w:rPr>
              <w:t xml:space="preserve">5.2 </w:t>
            </w:r>
            <w:r w:rsidR="001044BA" w:rsidRPr="005A2F30">
              <w:rPr>
                <w:rFonts w:ascii="Raleway" w:hAnsi="Raleway" w:cs="Arial"/>
                <w:b/>
                <w:szCs w:val="18"/>
              </w:rPr>
              <w:t>CONCEPTOS SOBRE SOBORNO</w:t>
            </w:r>
          </w:p>
          <w:p w:rsidR="00361D54" w:rsidRPr="005A2F30" w:rsidRDefault="001044BA" w:rsidP="001044BA">
            <w:pPr>
              <w:contextualSpacing/>
              <w:jc w:val="both"/>
              <w:rPr>
                <w:rFonts w:ascii="Raleway" w:hAnsi="Raleway" w:cs="Arial"/>
                <w:szCs w:val="18"/>
              </w:rPr>
            </w:pPr>
            <w:r w:rsidRPr="005A2F30">
              <w:rPr>
                <w:rFonts w:ascii="Raleway" w:hAnsi="Raleway" w:cs="Arial"/>
                <w:b/>
                <w:bCs/>
                <w:szCs w:val="18"/>
              </w:rPr>
              <w:t xml:space="preserve">5.2.1 </w:t>
            </w:r>
            <w:r w:rsidRPr="005A2F30">
              <w:rPr>
                <w:rFonts w:ascii="Raleway" w:hAnsi="Raleway" w:cs="Arial"/>
                <w:szCs w:val="18"/>
              </w:rPr>
              <w:t>El equipo auditor debe tener el conocimiento de los conceptos sobre soborno, incluyendo al menos lo siguiente:</w:t>
            </w:r>
          </w:p>
          <w:p w:rsidR="001044BA" w:rsidRPr="005A2F30" w:rsidRDefault="001044BA" w:rsidP="001044BA">
            <w:pPr>
              <w:contextualSpacing/>
              <w:jc w:val="both"/>
              <w:rPr>
                <w:rFonts w:ascii="Raleway" w:hAnsi="Raleway" w:cs="Arial"/>
                <w:b/>
                <w:szCs w:val="18"/>
              </w:rPr>
            </w:pPr>
          </w:p>
          <w:p w:rsidR="001044BA" w:rsidRPr="005A2F30" w:rsidRDefault="001044BA" w:rsidP="001044BA">
            <w:pPr>
              <w:numPr>
                <w:ilvl w:val="0"/>
                <w:numId w:val="29"/>
              </w:numPr>
              <w:contextualSpacing/>
              <w:jc w:val="both"/>
              <w:rPr>
                <w:rFonts w:ascii="Raleway" w:hAnsi="Raleway" w:cs="Arial"/>
                <w:bCs/>
                <w:szCs w:val="18"/>
              </w:rPr>
            </w:pPr>
            <w:r w:rsidRPr="005A2F30">
              <w:rPr>
                <w:rFonts w:ascii="Raleway" w:hAnsi="Raleway" w:cs="Arial"/>
                <w:bCs/>
                <w:szCs w:val="18"/>
              </w:rPr>
              <w:t>pagos directos e indirectos;</w:t>
            </w:r>
          </w:p>
          <w:p w:rsidR="001044BA" w:rsidRPr="005A2F30" w:rsidRDefault="001044BA" w:rsidP="001044BA">
            <w:pPr>
              <w:numPr>
                <w:ilvl w:val="0"/>
                <w:numId w:val="29"/>
              </w:numPr>
              <w:contextualSpacing/>
              <w:jc w:val="both"/>
              <w:rPr>
                <w:rFonts w:ascii="Raleway" w:hAnsi="Raleway" w:cs="Arial"/>
                <w:b/>
                <w:szCs w:val="18"/>
              </w:rPr>
            </w:pPr>
            <w:r w:rsidRPr="005A2F30">
              <w:rPr>
                <w:rFonts w:ascii="Raleway" w:hAnsi="Raleway" w:cs="Arial"/>
                <w:bCs/>
                <w:szCs w:val="18"/>
              </w:rPr>
              <w:t>pagos de facilitación;</w:t>
            </w:r>
          </w:p>
          <w:p w:rsidR="001044BA" w:rsidRPr="005A2F30" w:rsidRDefault="001044BA" w:rsidP="001044BA">
            <w:pPr>
              <w:numPr>
                <w:ilvl w:val="0"/>
                <w:numId w:val="29"/>
              </w:numPr>
              <w:contextualSpacing/>
              <w:jc w:val="both"/>
              <w:rPr>
                <w:rFonts w:ascii="Raleway" w:hAnsi="Raleway" w:cs="Arial"/>
                <w:b/>
                <w:szCs w:val="18"/>
              </w:rPr>
            </w:pPr>
            <w:r w:rsidRPr="005A2F30">
              <w:rPr>
                <w:rFonts w:ascii="Raleway" w:hAnsi="Raleway" w:cs="Arial"/>
                <w:bCs/>
                <w:szCs w:val="18"/>
              </w:rPr>
              <w:t>ventajas o beneficios no financieros (por ejemplo, beneficios y oportunidades para los miembros de la familia);</w:t>
            </w:r>
          </w:p>
          <w:p w:rsidR="001044BA" w:rsidRPr="005A2F30" w:rsidRDefault="001044BA" w:rsidP="001044BA">
            <w:pPr>
              <w:numPr>
                <w:ilvl w:val="0"/>
                <w:numId w:val="29"/>
              </w:numPr>
              <w:contextualSpacing/>
              <w:jc w:val="both"/>
              <w:rPr>
                <w:rFonts w:ascii="Raleway" w:hAnsi="Raleway" w:cs="Arial"/>
                <w:b/>
                <w:szCs w:val="18"/>
              </w:rPr>
            </w:pPr>
            <w:r w:rsidRPr="005A2F30">
              <w:rPr>
                <w:rFonts w:ascii="Raleway" w:hAnsi="Raleway" w:cs="Arial"/>
                <w:bCs/>
                <w:szCs w:val="18"/>
              </w:rPr>
              <w:t>conflictos de intereses.</w:t>
            </w:r>
          </w:p>
          <w:p w:rsidR="001044BA" w:rsidRPr="005A2F30" w:rsidRDefault="001044BA" w:rsidP="001044BA">
            <w:pPr>
              <w:contextualSpacing/>
              <w:jc w:val="both"/>
              <w:rPr>
                <w:rFonts w:ascii="Raleway" w:hAnsi="Raleway" w:cs="Arial"/>
                <w:b/>
                <w:szCs w:val="18"/>
              </w:rPr>
            </w:pPr>
          </w:p>
          <w:p w:rsidR="001044BA" w:rsidRPr="005A2F30" w:rsidRDefault="001044BA" w:rsidP="001044BA">
            <w:pPr>
              <w:contextualSpacing/>
              <w:jc w:val="both"/>
              <w:rPr>
                <w:rFonts w:ascii="Raleway" w:hAnsi="Raleway" w:cs="Arial"/>
                <w:bCs/>
                <w:szCs w:val="18"/>
              </w:rPr>
            </w:pPr>
            <w:r w:rsidRPr="005A2F30">
              <w:rPr>
                <w:rFonts w:ascii="Raleway" w:hAnsi="Raleway" w:cs="Arial"/>
                <w:b/>
                <w:szCs w:val="18"/>
              </w:rPr>
              <w:lastRenderedPageBreak/>
              <w:t xml:space="preserve">5.2.2 </w:t>
            </w:r>
            <w:r w:rsidRPr="005A2F30">
              <w:rPr>
                <w:rFonts w:ascii="Raleway" w:hAnsi="Raleway" w:cs="Arial"/>
                <w:bCs/>
                <w:szCs w:val="18"/>
              </w:rPr>
              <w:t>El equipo auditor debe tener conocimiento de los riesgos de soborno asociados con terceras partes, tales como funcionarios públicos, agentes, consultores, subcontratistas, familiares o relacionados.</w:t>
            </w:r>
          </w:p>
          <w:p w:rsidR="001044BA" w:rsidRPr="005A2F30" w:rsidRDefault="001044BA" w:rsidP="001044BA">
            <w:pPr>
              <w:contextualSpacing/>
              <w:jc w:val="both"/>
              <w:rPr>
                <w:rFonts w:ascii="Raleway" w:hAnsi="Raleway" w:cs="Arial"/>
                <w:bCs/>
                <w:szCs w:val="18"/>
              </w:rPr>
            </w:pPr>
          </w:p>
          <w:p w:rsidR="001044BA" w:rsidRPr="005A2F30" w:rsidRDefault="001044BA" w:rsidP="001044BA">
            <w:pPr>
              <w:contextualSpacing/>
              <w:jc w:val="both"/>
              <w:rPr>
                <w:rFonts w:ascii="Raleway" w:hAnsi="Raleway" w:cs="Arial"/>
                <w:bCs/>
                <w:szCs w:val="18"/>
              </w:rPr>
            </w:pPr>
            <w:r w:rsidRPr="005A2F30">
              <w:rPr>
                <w:rFonts w:ascii="Raleway" w:hAnsi="Raleway" w:cs="Arial"/>
                <w:b/>
                <w:szCs w:val="18"/>
              </w:rPr>
              <w:t xml:space="preserve">5.2.3 </w:t>
            </w:r>
            <w:r w:rsidRPr="005A2F30">
              <w:rPr>
                <w:rFonts w:ascii="Raleway" w:hAnsi="Raleway" w:cs="Arial"/>
                <w:bCs/>
                <w:szCs w:val="18"/>
              </w:rPr>
              <w:t>El equipo auditor debe tener conocimiento de los escenarios de soborno relacionados con al menos lo siguiente:</w:t>
            </w:r>
          </w:p>
          <w:p w:rsidR="001044BA" w:rsidRPr="005A2F30" w:rsidRDefault="001044BA" w:rsidP="001044BA">
            <w:pPr>
              <w:contextualSpacing/>
              <w:jc w:val="both"/>
              <w:rPr>
                <w:rFonts w:ascii="Raleway" w:hAnsi="Raleway" w:cs="Arial"/>
                <w:bCs/>
                <w:szCs w:val="18"/>
              </w:rPr>
            </w:pP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personal, reclutamiento, contratación y remuneración;</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actividades comerciales;</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viajes, regalos y hospitalidad;</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donaciones y patrocinios;</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compras y contrataciones;</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ventas y marketing;</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fabricación y cadena de suministro;</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procesos contratados externamente;</w:t>
            </w:r>
          </w:p>
          <w:p w:rsidR="001044BA" w:rsidRPr="005A2F30" w:rsidRDefault="001044BA" w:rsidP="001044BA">
            <w:pPr>
              <w:numPr>
                <w:ilvl w:val="0"/>
                <w:numId w:val="30"/>
              </w:numPr>
              <w:contextualSpacing/>
              <w:jc w:val="both"/>
              <w:rPr>
                <w:rFonts w:ascii="Raleway" w:hAnsi="Raleway" w:cs="Arial"/>
                <w:bCs/>
                <w:szCs w:val="18"/>
              </w:rPr>
            </w:pPr>
            <w:r w:rsidRPr="005A2F30">
              <w:rPr>
                <w:rFonts w:ascii="Raleway" w:hAnsi="Raleway" w:cs="Arial"/>
                <w:bCs/>
                <w:szCs w:val="18"/>
              </w:rPr>
              <w:t>fusiones y adquisiciones.</w:t>
            </w:r>
          </w:p>
          <w:p w:rsidR="001044BA" w:rsidRPr="005A2F30" w:rsidRDefault="001044BA" w:rsidP="001044BA">
            <w:pPr>
              <w:contextualSpacing/>
              <w:jc w:val="both"/>
              <w:rPr>
                <w:rFonts w:ascii="Raleway" w:hAnsi="Raleway" w:cs="Arial"/>
                <w:bCs/>
                <w:szCs w:val="18"/>
              </w:rPr>
            </w:pPr>
          </w:p>
          <w:p w:rsidR="001044BA" w:rsidRPr="005A2F30" w:rsidRDefault="001044BA" w:rsidP="001044BA">
            <w:pPr>
              <w:contextualSpacing/>
              <w:jc w:val="both"/>
              <w:rPr>
                <w:rFonts w:ascii="Raleway" w:hAnsi="Raleway" w:cs="Arial"/>
                <w:bCs/>
                <w:szCs w:val="18"/>
              </w:rPr>
            </w:pPr>
            <w:r w:rsidRPr="005A2F30">
              <w:rPr>
                <w:rFonts w:ascii="Raleway" w:hAnsi="Raleway" w:cs="Arial"/>
                <w:b/>
                <w:szCs w:val="18"/>
              </w:rPr>
              <w:t xml:space="preserve">5.2.4 </w:t>
            </w:r>
            <w:r w:rsidR="00087C41" w:rsidRPr="005A2F30">
              <w:rPr>
                <w:rFonts w:ascii="Raleway" w:hAnsi="Raleway" w:cs="Arial"/>
                <w:bCs/>
                <w:szCs w:val="18"/>
              </w:rPr>
              <w:t>El equipo auditor debe tener conocimiento de los indicadores de soborno (señales de alerta).</w:t>
            </w:r>
          </w:p>
          <w:p w:rsidR="00087C41" w:rsidRPr="005A2F30" w:rsidRDefault="00087C41" w:rsidP="001044BA">
            <w:pPr>
              <w:contextualSpacing/>
              <w:jc w:val="both"/>
              <w:rPr>
                <w:rFonts w:ascii="Raleway" w:hAnsi="Raleway" w:cs="Arial"/>
                <w:bCs/>
                <w:szCs w:val="18"/>
              </w:rPr>
            </w:pPr>
          </w:p>
          <w:p w:rsidR="00087C41" w:rsidRPr="005A2F30" w:rsidRDefault="00087C41" w:rsidP="001044BA">
            <w:pPr>
              <w:contextualSpacing/>
              <w:jc w:val="both"/>
              <w:rPr>
                <w:rFonts w:ascii="Raleway" w:hAnsi="Raleway" w:cs="Arial"/>
                <w:bCs/>
                <w:szCs w:val="18"/>
              </w:rPr>
            </w:pPr>
            <w:r w:rsidRPr="005A2F30">
              <w:rPr>
                <w:rFonts w:ascii="Raleway" w:hAnsi="Raleway" w:cs="Arial"/>
                <w:bCs/>
                <w:szCs w:val="18"/>
              </w:rPr>
              <w:t>NOTA Se dispone de listas de indicadores de soborno (señales de alerta), por ejemplo, de la Cámara de Comercio Internacional (CCI), de la Organización para la Cooperación y el Desarrollo Económico (OCDE) y del Banco Mundial.</w:t>
            </w:r>
          </w:p>
          <w:p w:rsidR="00087C41" w:rsidRPr="005A2F30" w:rsidRDefault="00087C41" w:rsidP="001044BA">
            <w:pPr>
              <w:contextualSpacing/>
              <w:jc w:val="both"/>
              <w:rPr>
                <w:rFonts w:ascii="Raleway" w:hAnsi="Raleway" w:cs="Arial"/>
                <w:bCs/>
                <w:szCs w:val="18"/>
              </w:rPr>
            </w:pPr>
          </w:p>
          <w:p w:rsidR="00087C41" w:rsidRPr="005A2F30" w:rsidRDefault="00087C41" w:rsidP="003E37B9">
            <w:pPr>
              <w:contextualSpacing/>
              <w:jc w:val="both"/>
              <w:rPr>
                <w:rFonts w:ascii="Raleway" w:hAnsi="Raleway" w:cs="Arial"/>
                <w:bCs/>
                <w:szCs w:val="18"/>
              </w:rPr>
            </w:pPr>
            <w:r w:rsidRPr="005A2F30">
              <w:rPr>
                <w:rFonts w:ascii="Raleway" w:hAnsi="Raleway" w:cs="Arial"/>
                <w:b/>
                <w:szCs w:val="18"/>
              </w:rPr>
              <w:t xml:space="preserve">5.2.5 </w:t>
            </w:r>
            <w:r w:rsidRPr="005A2F30">
              <w:rPr>
                <w:rFonts w:ascii="Raleway" w:hAnsi="Raleway" w:cs="Arial"/>
                <w:bCs/>
                <w:szCs w:val="18"/>
              </w:rPr>
              <w:t>El equipo auditor debe tener conocimiento de los controles utilizados para prevenir, detectar y enfrentar al soborno y las consecuencias de controles inadecuados o ausentes.</w:t>
            </w:r>
          </w:p>
        </w:tc>
        <w:tc>
          <w:tcPr>
            <w:tcW w:w="5975" w:type="dxa"/>
          </w:tcPr>
          <w:p w:rsidR="00361D54" w:rsidRPr="005A2F30" w:rsidRDefault="00361D54" w:rsidP="0058303D">
            <w:pPr>
              <w:contextualSpacing/>
              <w:jc w:val="both"/>
              <w:rPr>
                <w:rFonts w:ascii="Raleway" w:hAnsi="Raleway" w:cs="Arial"/>
                <w:szCs w:val="18"/>
              </w:rPr>
            </w:pPr>
          </w:p>
          <w:p w:rsidR="00361D54" w:rsidRPr="005A2F30" w:rsidRDefault="00361D54" w:rsidP="0058303D">
            <w:pPr>
              <w:contextualSpacing/>
              <w:jc w:val="both"/>
              <w:rPr>
                <w:rFonts w:ascii="Raleway" w:hAnsi="Raleway" w:cs="Arial"/>
                <w:szCs w:val="18"/>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rPr>
            </w:pPr>
            <w:r w:rsidRPr="005A2F30">
              <w:rPr>
                <w:rFonts w:ascii="Raleway" w:hAnsi="Raleway" w:cs="Arial"/>
                <w:b/>
                <w:szCs w:val="18"/>
              </w:rPr>
              <w:lastRenderedPageBreak/>
              <w:t>5.3 CONTEXTO DE LA ORGANIZACIÓN</w:t>
            </w:r>
          </w:p>
          <w:p w:rsidR="00361D54" w:rsidRPr="005A2F30" w:rsidRDefault="00087C41" w:rsidP="0058303D">
            <w:pPr>
              <w:pStyle w:val="Textoindependiente"/>
              <w:contextualSpacing/>
              <w:rPr>
                <w:rFonts w:ascii="Raleway" w:hAnsi="Raleway"/>
                <w:color w:val="auto"/>
                <w:sz w:val="18"/>
                <w:szCs w:val="18"/>
              </w:rPr>
            </w:pPr>
            <w:r w:rsidRPr="005A2F30">
              <w:rPr>
                <w:rFonts w:ascii="Raleway" w:hAnsi="Raleway"/>
                <w:b/>
                <w:bCs/>
                <w:color w:val="auto"/>
                <w:sz w:val="18"/>
                <w:szCs w:val="18"/>
              </w:rPr>
              <w:t xml:space="preserve">5.3.1 </w:t>
            </w:r>
            <w:r w:rsidRPr="005A2F30">
              <w:rPr>
                <w:rFonts w:ascii="Raleway" w:hAnsi="Raleway"/>
                <w:color w:val="auto"/>
                <w:sz w:val="18"/>
                <w:szCs w:val="18"/>
              </w:rPr>
              <w:t>El equipo auditor debe tener conocimiento del contexto en el que opera la organización, incluyendo el Capítulo 4 de la Norma ISO 37001:2016.</w:t>
            </w:r>
          </w:p>
          <w:p w:rsidR="00087C41" w:rsidRPr="005A2F30" w:rsidRDefault="00087C41" w:rsidP="0058303D">
            <w:pPr>
              <w:pStyle w:val="Textoindependiente"/>
              <w:contextualSpacing/>
              <w:rPr>
                <w:rFonts w:ascii="Raleway" w:hAnsi="Raleway"/>
                <w:color w:val="auto"/>
                <w:sz w:val="18"/>
                <w:szCs w:val="18"/>
              </w:rPr>
            </w:pPr>
          </w:p>
          <w:p w:rsidR="00087C41" w:rsidRPr="005A2F30" w:rsidRDefault="00087C41" w:rsidP="0058303D">
            <w:pPr>
              <w:pStyle w:val="Textoindependiente"/>
              <w:contextualSpacing/>
              <w:rPr>
                <w:rFonts w:ascii="Raleway" w:hAnsi="Raleway"/>
                <w:color w:val="auto"/>
                <w:sz w:val="18"/>
                <w:szCs w:val="18"/>
              </w:rPr>
            </w:pPr>
            <w:r w:rsidRPr="005A2F30">
              <w:rPr>
                <w:rFonts w:ascii="Raleway" w:hAnsi="Raleway"/>
                <w:b/>
                <w:bCs/>
                <w:color w:val="auto"/>
                <w:sz w:val="18"/>
                <w:szCs w:val="18"/>
              </w:rPr>
              <w:t xml:space="preserve">5.3.2 </w:t>
            </w:r>
            <w:r w:rsidRPr="005A2F30">
              <w:rPr>
                <w:rFonts w:ascii="Raleway" w:hAnsi="Raleway"/>
                <w:color w:val="auto"/>
                <w:sz w:val="18"/>
                <w:szCs w:val="18"/>
              </w:rPr>
              <w:t>El equipo auditor debe tener el conocimiento y las habilidades necesarias para realizar investigaciones independientes relacionadas con la organización para identificar y comprender, por ejemplo, las denuncias o cuestiones recientes de soborno, los riesgos de soborno relacionados con la industria o los niveles de interacción o regulación gubernamental.</w:t>
            </w:r>
          </w:p>
          <w:p w:rsidR="00087C41" w:rsidRPr="005A2F30" w:rsidRDefault="00087C41" w:rsidP="0058303D">
            <w:pPr>
              <w:pStyle w:val="Textoindependiente"/>
              <w:contextualSpacing/>
              <w:rPr>
                <w:rFonts w:ascii="Raleway" w:hAnsi="Raleway"/>
                <w:color w:val="auto"/>
                <w:sz w:val="18"/>
                <w:szCs w:val="18"/>
              </w:rPr>
            </w:pPr>
          </w:p>
          <w:p w:rsidR="00087C41" w:rsidRPr="005A2F30" w:rsidRDefault="00087C41" w:rsidP="0058303D">
            <w:pPr>
              <w:pStyle w:val="Textoindependiente"/>
              <w:contextualSpacing/>
              <w:rPr>
                <w:rFonts w:ascii="Raleway" w:hAnsi="Raleway"/>
                <w:color w:val="auto"/>
                <w:sz w:val="18"/>
                <w:szCs w:val="18"/>
              </w:rPr>
            </w:pPr>
            <w:r w:rsidRPr="005A2F30">
              <w:rPr>
                <w:rFonts w:ascii="Raleway" w:hAnsi="Raleway"/>
                <w:b/>
                <w:bCs/>
                <w:color w:val="auto"/>
                <w:sz w:val="18"/>
                <w:szCs w:val="18"/>
              </w:rPr>
              <w:t xml:space="preserve">5.3.3 </w:t>
            </w:r>
            <w:r w:rsidRPr="005A2F30">
              <w:rPr>
                <w:rFonts w:ascii="Raleway" w:hAnsi="Raleway"/>
                <w:color w:val="auto"/>
                <w:sz w:val="18"/>
                <w:szCs w:val="18"/>
              </w:rPr>
              <w:t>El equipo auditor debe tener el conocimiento de las estructuras corporativas, por ejemplo, fusiones y adquisiciones, alianza empresarial e instrumentos de inversión.</w:t>
            </w:r>
          </w:p>
        </w:tc>
        <w:tc>
          <w:tcPr>
            <w:tcW w:w="5975" w:type="dxa"/>
          </w:tcPr>
          <w:p w:rsidR="00361D54" w:rsidRPr="005A2F30" w:rsidRDefault="00361D54" w:rsidP="0058303D">
            <w:pPr>
              <w:autoSpaceDE w:val="0"/>
              <w:autoSpaceDN w:val="0"/>
              <w:adjustRightInd w:val="0"/>
              <w:contextualSpacing/>
              <w:jc w:val="both"/>
              <w:rPr>
                <w:rFonts w:ascii="Raleway" w:hAnsi="Raleway"/>
                <w:szCs w:val="18"/>
                <w:lang w:val="es-ES_tradnl"/>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lang w:val="es-ES_tradnl"/>
              </w:rPr>
            </w:pPr>
            <w:r w:rsidRPr="005A2F30">
              <w:rPr>
                <w:rFonts w:ascii="Raleway" w:hAnsi="Raleway" w:cs="Arial"/>
                <w:b/>
                <w:szCs w:val="18"/>
                <w:lang w:val="es-ES_tradnl"/>
              </w:rPr>
              <w:t xml:space="preserve">5.4 </w:t>
            </w:r>
            <w:r w:rsidR="00087C41" w:rsidRPr="005A2F30">
              <w:rPr>
                <w:rFonts w:ascii="Raleway" w:hAnsi="Raleway" w:cs="Arial"/>
                <w:b/>
                <w:szCs w:val="18"/>
                <w:lang w:val="es-ES_tradnl"/>
              </w:rPr>
              <w:t>LEYES, REGULACIONES Y OTROS REQUISITOS</w:t>
            </w:r>
          </w:p>
          <w:p w:rsidR="00361D54" w:rsidRPr="005A2F30" w:rsidRDefault="00087C41" w:rsidP="0058303D">
            <w:pPr>
              <w:contextualSpacing/>
              <w:jc w:val="both"/>
              <w:rPr>
                <w:rFonts w:ascii="Raleway" w:hAnsi="Raleway" w:cs="Arial"/>
                <w:szCs w:val="18"/>
              </w:rPr>
            </w:pPr>
            <w:r w:rsidRPr="005A2F30">
              <w:rPr>
                <w:rFonts w:ascii="Raleway" w:hAnsi="Raleway" w:cs="Arial"/>
                <w:szCs w:val="18"/>
                <w:lang w:val="es-ES_tradnl"/>
              </w:rPr>
              <w:t>El equipo auditor debe tener conocimiento para determinar si los procedimientos de una organización son adecuados y se han implementado para identificar y evaluar su cumplimiento con los requisitos legales aplicables y otros requisitos que apliquen a su sistema de gestión antisoborno.</w:t>
            </w:r>
          </w:p>
        </w:tc>
        <w:tc>
          <w:tcPr>
            <w:tcW w:w="5975" w:type="dxa"/>
          </w:tcPr>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lang w:val="es-ES_tradnl"/>
              </w:rPr>
            </w:pPr>
            <w:r w:rsidRPr="005A2F30">
              <w:rPr>
                <w:rFonts w:ascii="Raleway" w:hAnsi="Raleway" w:cs="Arial"/>
                <w:b/>
                <w:szCs w:val="18"/>
                <w:lang w:val="es-ES_tradnl"/>
              </w:rPr>
              <w:t xml:space="preserve">5.5 </w:t>
            </w:r>
            <w:r w:rsidR="00087C41" w:rsidRPr="005A2F30">
              <w:rPr>
                <w:rFonts w:ascii="Raleway" w:hAnsi="Raleway" w:cs="Arial"/>
                <w:b/>
                <w:szCs w:val="18"/>
                <w:lang w:val="es-ES_tradnl"/>
              </w:rPr>
              <w:t>EVALUACIÓN DEL RIESGO DE SOBORNO Y LA DEBIDA DILIGENCIA</w:t>
            </w:r>
          </w:p>
          <w:p w:rsidR="00361D54" w:rsidRPr="005A2F30" w:rsidRDefault="00087C41" w:rsidP="0058303D">
            <w:pPr>
              <w:autoSpaceDE w:val="0"/>
              <w:autoSpaceDN w:val="0"/>
              <w:adjustRightInd w:val="0"/>
              <w:contextualSpacing/>
              <w:jc w:val="both"/>
              <w:rPr>
                <w:rFonts w:ascii="Raleway" w:hAnsi="Raleway" w:cs="Arial"/>
                <w:szCs w:val="18"/>
                <w:lang w:val="es-ES_tradnl"/>
              </w:rPr>
            </w:pPr>
            <w:r w:rsidRPr="005A2F30">
              <w:rPr>
                <w:rFonts w:ascii="Raleway" w:hAnsi="Raleway" w:cs="Arial"/>
                <w:szCs w:val="18"/>
                <w:lang w:val="es-ES_tradnl"/>
              </w:rPr>
              <w:lastRenderedPageBreak/>
              <w:t>El equipo auditor debe tener conocimiento sobre la forma en que se llevan a cabo las valoraciones del riesgo de soborno descritas en el apartado 4.5 de la norma ISO 37001:2016, incluyendo la comprensión de diferentes metodologías, y sus limitaciones y desafíos asociados, así como un entendimiento de la debida diligencia</w:t>
            </w:r>
            <w:r w:rsidR="003F3C81" w:rsidRPr="005A2F30">
              <w:rPr>
                <w:rFonts w:ascii="Raleway" w:hAnsi="Raleway" w:cs="Arial"/>
                <w:szCs w:val="18"/>
                <w:lang w:val="es-ES_tradnl"/>
              </w:rPr>
              <w:t xml:space="preserve"> </w:t>
            </w:r>
            <w:r w:rsidRPr="005A2F30">
              <w:rPr>
                <w:rFonts w:ascii="Raleway" w:hAnsi="Raleway" w:cs="Arial"/>
                <w:szCs w:val="18"/>
                <w:lang w:val="es-ES_tradnl"/>
              </w:rPr>
              <w:t>(ISO 37001:2016, 8.2) y los riesgos de soborno asociados a los socios de negocios (ISO 37001:2016, 8.5).</w:t>
            </w:r>
          </w:p>
        </w:tc>
        <w:tc>
          <w:tcPr>
            <w:tcW w:w="5975" w:type="dxa"/>
          </w:tcPr>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lang w:val="es-ES_tradnl"/>
              </w:rPr>
            </w:pPr>
            <w:r w:rsidRPr="005A2F30">
              <w:rPr>
                <w:rFonts w:ascii="Raleway" w:hAnsi="Raleway" w:cs="Arial"/>
                <w:b/>
                <w:szCs w:val="18"/>
                <w:lang w:val="es-ES_tradnl"/>
              </w:rPr>
              <w:lastRenderedPageBreak/>
              <w:t xml:space="preserve">5.6 </w:t>
            </w:r>
            <w:r w:rsidR="003F3C81" w:rsidRPr="005A2F30">
              <w:rPr>
                <w:rFonts w:ascii="Raleway" w:hAnsi="Raleway" w:cs="Arial"/>
                <w:b/>
                <w:szCs w:val="18"/>
                <w:lang w:val="es-ES_tradnl"/>
              </w:rPr>
              <w:t>RIESGO DE SOBORNO</w:t>
            </w:r>
          </w:p>
          <w:p w:rsidR="00361D54" w:rsidRPr="005A2F30" w:rsidRDefault="003F3C81" w:rsidP="0058303D">
            <w:pPr>
              <w:autoSpaceDE w:val="0"/>
              <w:autoSpaceDN w:val="0"/>
              <w:adjustRightInd w:val="0"/>
              <w:contextualSpacing/>
              <w:jc w:val="both"/>
              <w:rPr>
                <w:rFonts w:ascii="Raleway" w:hAnsi="Raleway" w:cs="Arial"/>
                <w:szCs w:val="18"/>
                <w:lang w:val="es-ES_tradnl"/>
              </w:rPr>
            </w:pPr>
            <w:r w:rsidRPr="005A2F30">
              <w:rPr>
                <w:rFonts w:ascii="Raleway" w:hAnsi="Raleway" w:cs="Arial"/>
                <w:bCs/>
                <w:szCs w:val="18"/>
                <w:lang w:val="es-ES_tradnl"/>
              </w:rPr>
              <w:t>El equipo auditor debe tener conocimiento de los métodos y habilidades para evaluar y controlar los riesgos de soborno que se describen en los Capítulos 7 y 8 de la Norma ISO 37001:2016.</w:t>
            </w:r>
          </w:p>
        </w:tc>
        <w:tc>
          <w:tcPr>
            <w:tcW w:w="5975" w:type="dxa"/>
          </w:tcPr>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lang w:val="es-ES_tradnl"/>
              </w:rPr>
            </w:pPr>
            <w:r w:rsidRPr="005A2F30">
              <w:rPr>
                <w:rFonts w:ascii="Raleway" w:hAnsi="Raleway" w:cs="Arial"/>
                <w:b/>
                <w:szCs w:val="18"/>
                <w:lang w:val="es-ES_tradnl"/>
              </w:rPr>
              <w:t xml:space="preserve">5.7 </w:t>
            </w:r>
            <w:r w:rsidR="003F3C81" w:rsidRPr="005A2F30">
              <w:rPr>
                <w:rFonts w:ascii="Raleway" w:hAnsi="Raleway" w:cs="Arial"/>
                <w:b/>
                <w:szCs w:val="18"/>
                <w:lang w:val="es-ES_tradnl"/>
              </w:rPr>
              <w:t>CONTROLES ANTISOBORNO</w:t>
            </w:r>
          </w:p>
          <w:p w:rsidR="00361D54" w:rsidRPr="005A2F30" w:rsidRDefault="003F3C81" w:rsidP="0058303D">
            <w:pPr>
              <w:autoSpaceDE w:val="0"/>
              <w:autoSpaceDN w:val="0"/>
              <w:adjustRightInd w:val="0"/>
              <w:contextualSpacing/>
              <w:jc w:val="both"/>
              <w:rPr>
                <w:rFonts w:ascii="Raleway" w:hAnsi="Raleway" w:cs="Arial"/>
                <w:szCs w:val="18"/>
                <w:lang w:val="es-ES_tradnl"/>
              </w:rPr>
            </w:pPr>
            <w:r w:rsidRPr="005A2F30">
              <w:rPr>
                <w:rFonts w:ascii="Raleway" w:hAnsi="Raleway" w:cs="Arial"/>
                <w:szCs w:val="18"/>
                <w:lang w:val="es-ES_tradnl"/>
              </w:rPr>
              <w:t>El equipo auditor debe tener conocimientos y habilidades en el diseño y evaluación de controles antisoborno e investigación de sobornos.</w:t>
            </w:r>
          </w:p>
        </w:tc>
        <w:tc>
          <w:tcPr>
            <w:tcW w:w="5975" w:type="dxa"/>
          </w:tcPr>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lang w:val="es-ES_tradnl"/>
              </w:rPr>
            </w:pPr>
            <w:r w:rsidRPr="005A2F30">
              <w:rPr>
                <w:rFonts w:ascii="Raleway" w:hAnsi="Raleway" w:cs="Arial"/>
                <w:b/>
                <w:szCs w:val="18"/>
                <w:lang w:val="es-ES_tradnl"/>
              </w:rPr>
              <w:t xml:space="preserve">5.8 </w:t>
            </w:r>
            <w:r w:rsidR="003F3C81" w:rsidRPr="005A2F30">
              <w:rPr>
                <w:rFonts w:ascii="Raleway" w:hAnsi="Raleway" w:cs="Arial"/>
                <w:b/>
                <w:szCs w:val="18"/>
                <w:lang w:val="es-ES_tradnl"/>
              </w:rPr>
              <w:t>SISTEMAS DE GESTIÓN ANTISOBORNO (SGAS)</w:t>
            </w:r>
          </w:p>
          <w:p w:rsidR="00361D54" w:rsidRPr="005A2F30" w:rsidRDefault="003F3C81" w:rsidP="0058303D">
            <w:pPr>
              <w:autoSpaceDE w:val="0"/>
              <w:autoSpaceDN w:val="0"/>
              <w:adjustRightInd w:val="0"/>
              <w:contextualSpacing/>
              <w:jc w:val="both"/>
              <w:rPr>
                <w:rFonts w:ascii="Raleway" w:hAnsi="Raleway" w:cs="Arial"/>
                <w:szCs w:val="18"/>
                <w:lang w:val="es-ES_tradnl"/>
              </w:rPr>
            </w:pPr>
            <w:r w:rsidRPr="005A2F30">
              <w:rPr>
                <w:rFonts w:ascii="Raleway" w:hAnsi="Raleway" w:cs="Arial"/>
                <w:szCs w:val="18"/>
                <w:lang w:val="es-ES_tradnl"/>
              </w:rPr>
              <w:t>El equipo auditor debe tener conocimientos y habilidades en el diseño o implementación de un SGAS o un sistema similar de gestión de cumplimiento o de control interno.</w:t>
            </w:r>
          </w:p>
        </w:tc>
        <w:tc>
          <w:tcPr>
            <w:tcW w:w="5975" w:type="dxa"/>
          </w:tcPr>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trHeight w:val="283"/>
          <w:jc w:val="center"/>
        </w:trPr>
        <w:tc>
          <w:tcPr>
            <w:tcW w:w="4815" w:type="dxa"/>
            <w:shd w:val="clear" w:color="auto" w:fill="F2F2F2"/>
            <w:vAlign w:val="center"/>
          </w:tcPr>
          <w:p w:rsidR="00361D54" w:rsidRPr="005A2F30" w:rsidRDefault="00361D54" w:rsidP="0058303D">
            <w:pPr>
              <w:autoSpaceDE w:val="0"/>
              <w:autoSpaceDN w:val="0"/>
              <w:adjustRightInd w:val="0"/>
              <w:contextualSpacing/>
              <w:jc w:val="both"/>
              <w:rPr>
                <w:rFonts w:ascii="Raleway" w:hAnsi="Raleway" w:cs="Arial"/>
                <w:b/>
                <w:szCs w:val="18"/>
              </w:rPr>
            </w:pPr>
            <w:r w:rsidRPr="005A2F30">
              <w:rPr>
                <w:rFonts w:ascii="Raleway" w:hAnsi="Raleway" w:cs="Arial"/>
                <w:b/>
                <w:szCs w:val="18"/>
              </w:rPr>
              <w:t xml:space="preserve">6 REQUISITOS DE COMPETENCIA PARA EL PERSONAL QUE </w:t>
            </w:r>
            <w:r w:rsidR="003F3C81" w:rsidRPr="005A2F30">
              <w:rPr>
                <w:rFonts w:ascii="Raleway" w:hAnsi="Raleway" w:cs="Arial"/>
                <w:b/>
                <w:szCs w:val="18"/>
              </w:rPr>
              <w:t>LLEVA A CABO LA REVISIÓN DE LAS SOLICITUDES, LA REVISIÓN DE LOS INFORMES DE AUDITORÍA Y LA TOMA DE DECISIONES DE CERTIFICACIÓN (OTRO PERSONAL)</w:t>
            </w:r>
            <w:r w:rsidRPr="005A2F30">
              <w:rPr>
                <w:rFonts w:ascii="Raleway" w:hAnsi="Raleway" w:cs="Arial"/>
                <w:b/>
                <w:szCs w:val="18"/>
              </w:rPr>
              <w:t xml:space="preserve"> </w:t>
            </w:r>
          </w:p>
        </w:tc>
        <w:tc>
          <w:tcPr>
            <w:tcW w:w="5975" w:type="dxa"/>
            <w:shd w:val="clear" w:color="auto" w:fill="F2F2F2"/>
            <w:vAlign w:val="center"/>
          </w:tcPr>
          <w:p w:rsidR="00361D54" w:rsidRPr="005A2F30" w:rsidRDefault="00361D54" w:rsidP="0058303D">
            <w:pPr>
              <w:autoSpaceDE w:val="0"/>
              <w:autoSpaceDN w:val="0"/>
              <w:adjustRightInd w:val="0"/>
              <w:contextualSpacing/>
              <w:jc w:val="center"/>
              <w:rPr>
                <w:rFonts w:ascii="Raleway" w:hAnsi="Raleway" w:cs="Arial"/>
                <w:b/>
                <w:bCs/>
                <w:szCs w:val="18"/>
                <w:lang w:val="es-ES_tradnl"/>
              </w:rPr>
            </w:pPr>
            <w:r w:rsidRPr="005A2F30">
              <w:rPr>
                <w:rFonts w:ascii="Raleway" w:hAnsi="Raleway" w:cs="Arial"/>
                <w:b/>
                <w:bCs/>
                <w:szCs w:val="18"/>
                <w:lang w:val="es-ES_tradnl"/>
              </w:rPr>
              <w:t>DOCUMENTO</w:t>
            </w:r>
          </w:p>
        </w:tc>
      </w:tr>
      <w:tr w:rsidR="00361D54" w:rsidRPr="005A2F30" w:rsidTr="005A2F30">
        <w:trPr>
          <w:jc w:val="center"/>
        </w:trPr>
        <w:tc>
          <w:tcPr>
            <w:tcW w:w="4815" w:type="dxa"/>
          </w:tcPr>
          <w:p w:rsidR="00361D54" w:rsidRPr="005A2F30" w:rsidRDefault="00361D54" w:rsidP="0058303D">
            <w:pPr>
              <w:autoSpaceDE w:val="0"/>
              <w:autoSpaceDN w:val="0"/>
              <w:adjustRightInd w:val="0"/>
              <w:contextualSpacing/>
              <w:jc w:val="both"/>
              <w:rPr>
                <w:rFonts w:ascii="Raleway" w:hAnsi="Raleway" w:cs="Arial"/>
                <w:b/>
                <w:szCs w:val="18"/>
              </w:rPr>
            </w:pPr>
            <w:r w:rsidRPr="005A2F30">
              <w:rPr>
                <w:rFonts w:ascii="Raleway" w:hAnsi="Raleway" w:cs="Arial"/>
                <w:b/>
                <w:szCs w:val="18"/>
              </w:rPr>
              <w:t xml:space="preserve">6.1 </w:t>
            </w:r>
            <w:r w:rsidR="003F3C81" w:rsidRPr="005A2F30">
              <w:rPr>
                <w:rFonts w:ascii="Raleway" w:hAnsi="Raleway" w:cs="Arial"/>
                <w:b/>
                <w:szCs w:val="18"/>
              </w:rPr>
              <w:t>GENERALIDADES</w:t>
            </w:r>
          </w:p>
          <w:p w:rsidR="00361D54" w:rsidRPr="005A2F30" w:rsidRDefault="003F3C81" w:rsidP="0058303D">
            <w:pPr>
              <w:autoSpaceDE w:val="0"/>
              <w:autoSpaceDN w:val="0"/>
              <w:adjustRightInd w:val="0"/>
              <w:contextualSpacing/>
              <w:jc w:val="both"/>
              <w:rPr>
                <w:rFonts w:ascii="Raleway" w:hAnsi="Raleway" w:cs="Arial"/>
                <w:szCs w:val="18"/>
              </w:rPr>
            </w:pPr>
            <w:r w:rsidRPr="005A2F30">
              <w:rPr>
                <w:rFonts w:ascii="Raleway" w:hAnsi="Raleway" w:cs="Arial"/>
                <w:szCs w:val="18"/>
              </w:rPr>
              <w:t>Otro personal debe tener la competencia genérica descrita en la Norma ISO/IEC 17021-1, comprender los requisitos de la Norma ISO 37001y la relación entre estos requisitos y conocer los requisitos del SGAS descritos en los apartados 6.2 y 6.3.</w:t>
            </w:r>
          </w:p>
        </w:tc>
        <w:tc>
          <w:tcPr>
            <w:tcW w:w="5975" w:type="dxa"/>
          </w:tcPr>
          <w:p w:rsidR="00361D54" w:rsidRPr="005A2F30" w:rsidRDefault="00361D54" w:rsidP="0058303D">
            <w:pPr>
              <w:autoSpaceDE w:val="0"/>
              <w:autoSpaceDN w:val="0"/>
              <w:adjustRightInd w:val="0"/>
              <w:contextualSpacing/>
              <w:jc w:val="both"/>
              <w:rPr>
                <w:rFonts w:ascii="Raleway" w:hAnsi="Raleway" w:cs="Arial"/>
                <w:szCs w:val="18"/>
              </w:rPr>
            </w:pPr>
          </w:p>
        </w:tc>
      </w:tr>
      <w:tr w:rsidR="00361D54" w:rsidRPr="005A2F30" w:rsidTr="005A2F30">
        <w:trPr>
          <w:trHeight w:val="742"/>
          <w:jc w:val="center"/>
        </w:trPr>
        <w:tc>
          <w:tcPr>
            <w:tcW w:w="4815" w:type="dxa"/>
          </w:tcPr>
          <w:p w:rsidR="00361D54" w:rsidRPr="005A2F30" w:rsidRDefault="00361D54" w:rsidP="0058303D">
            <w:pPr>
              <w:pStyle w:val="TableParagraph"/>
              <w:contextualSpacing/>
              <w:rPr>
                <w:rFonts w:ascii="Raleway" w:hAnsi="Raleway"/>
                <w:b/>
                <w:szCs w:val="18"/>
                <w:lang w:val="es-CO"/>
              </w:rPr>
            </w:pPr>
            <w:r w:rsidRPr="005A2F30">
              <w:rPr>
                <w:rFonts w:ascii="Raleway" w:hAnsi="Raleway"/>
                <w:b/>
                <w:szCs w:val="18"/>
                <w:lang w:val="es-CO"/>
              </w:rPr>
              <w:t xml:space="preserve">6.2 </w:t>
            </w:r>
            <w:r w:rsidR="003F3C81" w:rsidRPr="005A2F30">
              <w:rPr>
                <w:rFonts w:ascii="Raleway" w:hAnsi="Raleway"/>
                <w:b/>
                <w:szCs w:val="18"/>
                <w:lang w:val="es-CO"/>
              </w:rPr>
              <w:t>CONCEPTOS DE SOBORNO</w:t>
            </w:r>
          </w:p>
          <w:p w:rsidR="00361D54" w:rsidRPr="005A2F30" w:rsidRDefault="003F3C81" w:rsidP="0058303D">
            <w:pPr>
              <w:contextualSpacing/>
              <w:jc w:val="both"/>
              <w:rPr>
                <w:rFonts w:ascii="Raleway" w:hAnsi="Raleway"/>
                <w:szCs w:val="18"/>
                <w:lang w:val="es-CO" w:eastAsia="en-US"/>
              </w:rPr>
            </w:pPr>
            <w:r w:rsidRPr="005A2F30">
              <w:rPr>
                <w:rFonts w:ascii="Raleway" w:hAnsi="Raleway"/>
                <w:szCs w:val="18"/>
                <w:lang w:val="es-CO"/>
              </w:rPr>
              <w:t>Otro personal debe tener el conocimiento de los conceptos y riesgos del soborno.</w:t>
            </w:r>
          </w:p>
        </w:tc>
        <w:tc>
          <w:tcPr>
            <w:tcW w:w="5975" w:type="dxa"/>
          </w:tcPr>
          <w:p w:rsidR="00361D54" w:rsidRPr="005A2F30" w:rsidRDefault="00361D54" w:rsidP="0058303D">
            <w:pPr>
              <w:pStyle w:val="TableParagraph"/>
              <w:contextualSpacing/>
              <w:rPr>
                <w:rFonts w:ascii="Raleway" w:hAnsi="Raleway"/>
                <w:szCs w:val="18"/>
                <w:lang w:val="es-CO"/>
              </w:rPr>
            </w:pPr>
          </w:p>
          <w:p w:rsidR="00361D54" w:rsidRPr="005A2F30" w:rsidRDefault="00361D54" w:rsidP="0058303D">
            <w:pPr>
              <w:pStyle w:val="Default"/>
              <w:contextualSpacing/>
              <w:jc w:val="both"/>
              <w:rPr>
                <w:rFonts w:ascii="Raleway" w:hAnsi="Raleway"/>
                <w:color w:val="auto"/>
                <w:sz w:val="18"/>
                <w:szCs w:val="18"/>
              </w:rPr>
            </w:pPr>
          </w:p>
        </w:tc>
      </w:tr>
      <w:tr w:rsidR="00361D54" w:rsidRPr="005A2F30" w:rsidTr="005A2F30">
        <w:trPr>
          <w:trHeight w:val="674"/>
          <w:jc w:val="center"/>
        </w:trPr>
        <w:tc>
          <w:tcPr>
            <w:tcW w:w="4815" w:type="dxa"/>
          </w:tcPr>
          <w:p w:rsidR="00361D54" w:rsidRPr="005A2F30" w:rsidRDefault="00361D54" w:rsidP="0058303D">
            <w:pPr>
              <w:pStyle w:val="TableParagraph"/>
              <w:contextualSpacing/>
              <w:jc w:val="both"/>
              <w:rPr>
                <w:rFonts w:ascii="Raleway" w:hAnsi="Raleway"/>
                <w:b/>
                <w:szCs w:val="18"/>
                <w:lang w:val="es-CO"/>
              </w:rPr>
            </w:pPr>
            <w:r w:rsidRPr="005A2F30">
              <w:rPr>
                <w:rFonts w:ascii="Raleway" w:hAnsi="Raleway"/>
                <w:b/>
                <w:szCs w:val="18"/>
                <w:lang w:val="es-CO"/>
              </w:rPr>
              <w:t xml:space="preserve">6.3 </w:t>
            </w:r>
            <w:r w:rsidR="003F3C81" w:rsidRPr="005A2F30">
              <w:rPr>
                <w:rFonts w:ascii="Raleway" w:hAnsi="Raleway"/>
                <w:b/>
                <w:szCs w:val="18"/>
                <w:lang w:val="es-CO"/>
              </w:rPr>
              <w:t>CONTEXTO DE LA ORGANIZACIÓN</w:t>
            </w:r>
          </w:p>
          <w:p w:rsidR="00361D54" w:rsidRPr="005A2F30" w:rsidRDefault="003F3C81" w:rsidP="0058303D">
            <w:pPr>
              <w:pStyle w:val="TableParagraph"/>
              <w:contextualSpacing/>
              <w:jc w:val="both"/>
              <w:rPr>
                <w:rFonts w:ascii="Raleway" w:hAnsi="Raleway"/>
                <w:szCs w:val="18"/>
                <w:lang w:val="es-CO"/>
              </w:rPr>
            </w:pPr>
            <w:r w:rsidRPr="005A2F30">
              <w:rPr>
                <w:rFonts w:ascii="Raleway" w:hAnsi="Raleway"/>
                <w:szCs w:val="18"/>
                <w:lang w:val="es-CO"/>
              </w:rPr>
              <w:t>Otro personal debe tener conocimiento del contexto en el que opera la organización, incluyendo la información descrita en el Capítulo 4 de la Norma ISO 37001:2016.</w:t>
            </w:r>
          </w:p>
        </w:tc>
        <w:tc>
          <w:tcPr>
            <w:tcW w:w="5975" w:type="dxa"/>
          </w:tcPr>
          <w:p w:rsidR="00361D54" w:rsidRPr="005A2F30" w:rsidRDefault="00361D54" w:rsidP="0058303D">
            <w:pPr>
              <w:pStyle w:val="TableParagraph"/>
              <w:contextualSpacing/>
              <w:rPr>
                <w:rFonts w:ascii="Raleway" w:hAnsi="Raleway"/>
                <w:szCs w:val="18"/>
                <w:lang w:val="es-CO"/>
              </w:rPr>
            </w:pPr>
          </w:p>
        </w:tc>
      </w:tr>
    </w:tbl>
    <w:p w:rsidR="00E87D07" w:rsidRPr="005A2F30" w:rsidRDefault="00E87D07" w:rsidP="00581C74">
      <w:pPr>
        <w:autoSpaceDE w:val="0"/>
        <w:autoSpaceDN w:val="0"/>
        <w:adjustRightInd w:val="0"/>
        <w:contextualSpacing/>
        <w:jc w:val="both"/>
        <w:rPr>
          <w:rFonts w:ascii="Raleway" w:hAnsi="Raleway" w:cs="Arial"/>
          <w:b/>
          <w:bCs/>
          <w:szCs w:val="18"/>
          <w:lang w:val="es-ES_tradnl"/>
        </w:rPr>
      </w:pPr>
    </w:p>
    <w:p w:rsidR="00A85FD2" w:rsidRPr="005A2F30" w:rsidRDefault="00A85FD2" w:rsidP="00581C74">
      <w:pPr>
        <w:autoSpaceDE w:val="0"/>
        <w:autoSpaceDN w:val="0"/>
        <w:adjustRightInd w:val="0"/>
        <w:contextualSpacing/>
        <w:jc w:val="both"/>
        <w:rPr>
          <w:rFonts w:ascii="Raleway" w:hAnsi="Raleway" w:cs="Arial"/>
          <w:b/>
          <w:bCs/>
          <w:szCs w:val="18"/>
          <w:lang w:val="es-ES_tradnl"/>
        </w:rPr>
      </w:pPr>
    </w:p>
    <w:sectPr w:rsidR="00A85FD2" w:rsidRPr="005A2F30" w:rsidSect="00F33A27">
      <w:headerReference w:type="default" r:id="rId9"/>
      <w:footerReference w:type="default" r:id="rId10"/>
      <w:headerReference w:type="first" r:id="rId11"/>
      <w:pgSz w:w="12240" w:h="15840"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C1A" w:rsidRDefault="00303C1A">
      <w:r>
        <w:separator/>
      </w:r>
    </w:p>
  </w:endnote>
  <w:endnote w:type="continuationSeparator" w:id="0">
    <w:p w:rsidR="00303C1A" w:rsidRDefault="0030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C74" w:rsidRPr="00581C74" w:rsidRDefault="00581C74" w:rsidP="00581C74">
    <w:pPr>
      <w:pStyle w:val="Piedepgina"/>
      <w:ind w:left="-1020" w:right="-1020"/>
      <w:jc w:val="center"/>
      <w:rPr>
        <w:szCs w:val="16"/>
      </w:rPr>
    </w:pPr>
    <w:bookmarkStart w:id="2" w:name="_Hlk486594621"/>
    <w:r w:rsidRPr="00581C74">
      <w:rPr>
        <w:szCs w:val="16"/>
      </w:rPr>
      <w:t xml:space="preserve">Aprobado </w:t>
    </w:r>
    <w:r w:rsidRPr="00FB2F72">
      <w:rPr>
        <w:szCs w:val="16"/>
      </w:rPr>
      <w:t>201</w:t>
    </w:r>
    <w:r w:rsidR="000E23ED" w:rsidRPr="00FB2F72">
      <w:rPr>
        <w:szCs w:val="16"/>
      </w:rPr>
      <w:t>9</w:t>
    </w:r>
    <w:r w:rsidRPr="00FB2F72">
      <w:rPr>
        <w:szCs w:val="16"/>
      </w:rPr>
      <w:t>-</w:t>
    </w:r>
    <w:r w:rsidR="000E23ED" w:rsidRPr="00FB2F72">
      <w:rPr>
        <w:szCs w:val="16"/>
      </w:rPr>
      <w:t>0</w:t>
    </w:r>
    <w:r w:rsidR="00C47CC3">
      <w:rPr>
        <w:szCs w:val="16"/>
      </w:rPr>
      <w:t>9</w:t>
    </w:r>
    <w:r w:rsidR="000E23ED" w:rsidRPr="00FB2F72">
      <w:rPr>
        <w:szCs w:val="16"/>
      </w:rPr>
      <w:t>-</w:t>
    </w:r>
    <w:r w:rsidR="00C47CC3">
      <w:rPr>
        <w:szCs w:val="16"/>
      </w:rPr>
      <w:t>02</w:t>
    </w:r>
    <w:r w:rsidRPr="00581C74">
      <w:rPr>
        <w:szCs w:val="16"/>
      </w:rPr>
      <w:tab/>
    </w:r>
    <w:r w:rsidRPr="00581C74">
      <w:rPr>
        <w:szCs w:val="16"/>
      </w:rPr>
      <w:tab/>
      <w:t xml:space="preserve">Página </w:t>
    </w:r>
    <w:r w:rsidRPr="00581C74">
      <w:rPr>
        <w:b/>
        <w:bCs/>
        <w:szCs w:val="16"/>
      </w:rPr>
      <w:fldChar w:fldCharType="begin"/>
    </w:r>
    <w:r w:rsidRPr="00581C74">
      <w:rPr>
        <w:b/>
        <w:bCs/>
        <w:szCs w:val="16"/>
      </w:rPr>
      <w:instrText>PAGE</w:instrText>
    </w:r>
    <w:r w:rsidRPr="00581C74">
      <w:rPr>
        <w:b/>
        <w:bCs/>
        <w:szCs w:val="16"/>
      </w:rPr>
      <w:fldChar w:fldCharType="separate"/>
    </w:r>
    <w:r w:rsidR="005A2F30">
      <w:rPr>
        <w:b/>
        <w:bCs/>
        <w:noProof/>
        <w:szCs w:val="16"/>
      </w:rPr>
      <w:t>1</w:t>
    </w:r>
    <w:r w:rsidRPr="00581C74">
      <w:rPr>
        <w:b/>
        <w:bCs/>
        <w:szCs w:val="16"/>
      </w:rPr>
      <w:fldChar w:fldCharType="end"/>
    </w:r>
    <w:r w:rsidRPr="00581C74">
      <w:rPr>
        <w:szCs w:val="16"/>
      </w:rPr>
      <w:t xml:space="preserve"> de </w:t>
    </w:r>
    <w:r w:rsidRPr="00581C74">
      <w:rPr>
        <w:b/>
        <w:bCs/>
        <w:szCs w:val="16"/>
      </w:rPr>
      <w:fldChar w:fldCharType="begin"/>
    </w:r>
    <w:r w:rsidRPr="00581C74">
      <w:rPr>
        <w:b/>
        <w:bCs/>
        <w:szCs w:val="16"/>
      </w:rPr>
      <w:instrText>NUMPAGES</w:instrText>
    </w:r>
    <w:r w:rsidRPr="00581C74">
      <w:rPr>
        <w:b/>
        <w:bCs/>
        <w:szCs w:val="16"/>
      </w:rPr>
      <w:fldChar w:fldCharType="separate"/>
    </w:r>
    <w:r w:rsidR="005A2F30">
      <w:rPr>
        <w:b/>
        <w:bCs/>
        <w:noProof/>
        <w:szCs w:val="16"/>
      </w:rPr>
      <w:t>3</w:t>
    </w:r>
    <w:r w:rsidRPr="00581C74">
      <w:rPr>
        <w:b/>
        <w:bCs/>
        <w:szCs w:val="16"/>
      </w:rPr>
      <w:fldChar w:fldCharType="end"/>
    </w:r>
  </w:p>
  <w:bookmarkEnd w:id="2"/>
  <w:p w:rsidR="004405EE" w:rsidRPr="00581C74" w:rsidRDefault="004405EE" w:rsidP="00581C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C1A" w:rsidRDefault="00303C1A">
      <w:r>
        <w:separator/>
      </w:r>
    </w:p>
  </w:footnote>
  <w:footnote w:type="continuationSeparator" w:id="0">
    <w:p w:rsidR="00303C1A" w:rsidRDefault="00303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18"/>
      <w:gridCol w:w="6258"/>
      <w:gridCol w:w="2040"/>
    </w:tblGrid>
    <w:tr w:rsidR="00C80E1C" w:rsidRPr="005A2F30" w:rsidTr="005A2F30">
      <w:trPr>
        <w:trHeight w:val="850"/>
        <w:jc w:val="center"/>
      </w:trPr>
      <w:tc>
        <w:tcPr>
          <w:tcW w:w="2718" w:type="dxa"/>
          <w:tcBorders>
            <w:left w:val="nil"/>
          </w:tcBorders>
          <w:shd w:val="clear" w:color="auto" w:fill="auto"/>
          <w:vAlign w:val="center"/>
        </w:tcPr>
        <w:p w:rsidR="00C80E1C" w:rsidRPr="005A2F30" w:rsidRDefault="005A2F30" w:rsidP="00EC7A40">
          <w:pPr>
            <w:pStyle w:val="Encabezado"/>
            <w:jc w:val="center"/>
            <w:rPr>
              <w:rFonts w:ascii="Raleway" w:hAnsi="Raleway"/>
            </w:rPr>
          </w:pPr>
          <w:r>
            <w:rPr>
              <w:noProof/>
              <w:lang w:val="es-CO" w:eastAsia="es-CO"/>
            </w:rPr>
            <w:drawing>
              <wp:inline distT="0" distB="0" distL="0" distR="0" wp14:anchorId="1F3AA5DF" wp14:editId="27FA176F">
                <wp:extent cx="1304925" cy="353695"/>
                <wp:effectExtent l="0" t="0" r="9525" b="8255"/>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6258" w:type="dxa"/>
          <w:shd w:val="clear" w:color="auto" w:fill="auto"/>
          <w:vAlign w:val="center"/>
        </w:tcPr>
        <w:p w:rsidR="00C80E1C" w:rsidRPr="005A2F30" w:rsidRDefault="00C80E1C" w:rsidP="00EC7A40">
          <w:pPr>
            <w:pStyle w:val="Encabezado"/>
            <w:jc w:val="center"/>
            <w:rPr>
              <w:rFonts w:ascii="Raleway" w:hAnsi="Raleway"/>
              <w:sz w:val="20"/>
            </w:rPr>
          </w:pPr>
          <w:r w:rsidRPr="005A2F30">
            <w:rPr>
              <w:rFonts w:ascii="Raleway" w:hAnsi="Raleway"/>
              <w:sz w:val="20"/>
            </w:rPr>
            <w:t>LISTA DE VERIFICACION</w:t>
          </w:r>
        </w:p>
        <w:p w:rsidR="00C80E1C" w:rsidRPr="005A2F30" w:rsidRDefault="00C80E1C" w:rsidP="00EC7A40">
          <w:pPr>
            <w:pStyle w:val="Encabezado"/>
            <w:jc w:val="center"/>
            <w:rPr>
              <w:rFonts w:ascii="Raleway" w:hAnsi="Raleway"/>
              <w:sz w:val="20"/>
            </w:rPr>
          </w:pPr>
          <w:r w:rsidRPr="005A2F30">
            <w:rPr>
              <w:rFonts w:ascii="Raleway" w:hAnsi="Raleway"/>
              <w:sz w:val="20"/>
            </w:rPr>
            <w:t>ORGANISMO DE CERTIFICACIÓN DE SISTEMAS DE GESTIÓN</w:t>
          </w:r>
        </w:p>
        <w:p w:rsidR="00C80E1C" w:rsidRPr="005A2F30" w:rsidRDefault="00C80E1C" w:rsidP="00C80E1C">
          <w:pPr>
            <w:pStyle w:val="Encabezado"/>
            <w:jc w:val="center"/>
            <w:rPr>
              <w:rFonts w:ascii="Raleway" w:hAnsi="Raleway"/>
            </w:rPr>
          </w:pPr>
          <w:r w:rsidRPr="005A2F30">
            <w:rPr>
              <w:rFonts w:ascii="Raleway" w:hAnsi="Raleway"/>
              <w:sz w:val="20"/>
            </w:rPr>
            <w:t>ISO/IEC TS 17021-</w:t>
          </w:r>
          <w:r w:rsidR="00FB45E0" w:rsidRPr="005A2F30">
            <w:rPr>
              <w:rFonts w:ascii="Raleway" w:hAnsi="Raleway"/>
              <w:sz w:val="20"/>
            </w:rPr>
            <w:t>9</w:t>
          </w:r>
        </w:p>
      </w:tc>
      <w:tc>
        <w:tcPr>
          <w:tcW w:w="2040" w:type="dxa"/>
          <w:tcBorders>
            <w:right w:val="nil"/>
          </w:tcBorders>
          <w:shd w:val="clear" w:color="auto" w:fill="auto"/>
          <w:vAlign w:val="center"/>
        </w:tcPr>
        <w:p w:rsidR="00C80E1C" w:rsidRPr="005A2F30" w:rsidRDefault="00C80E1C" w:rsidP="00EC7A40">
          <w:pPr>
            <w:pStyle w:val="Encabezado"/>
            <w:jc w:val="center"/>
            <w:rPr>
              <w:rFonts w:ascii="Raleway" w:hAnsi="Raleway"/>
              <w:sz w:val="16"/>
              <w:szCs w:val="16"/>
            </w:rPr>
          </w:pPr>
          <w:r w:rsidRPr="005A2F30">
            <w:rPr>
              <w:rFonts w:ascii="Raleway" w:hAnsi="Raleway"/>
              <w:sz w:val="16"/>
              <w:szCs w:val="16"/>
            </w:rPr>
            <w:t>FR-3.3.2-</w:t>
          </w:r>
          <w:r w:rsidR="0087072F" w:rsidRPr="005A2F30">
            <w:rPr>
              <w:rFonts w:ascii="Raleway" w:hAnsi="Raleway"/>
              <w:sz w:val="16"/>
              <w:szCs w:val="16"/>
            </w:rPr>
            <w:t>5</w:t>
          </w:r>
          <w:r w:rsidR="00D91079" w:rsidRPr="005A2F30">
            <w:rPr>
              <w:rFonts w:ascii="Raleway" w:hAnsi="Raleway"/>
              <w:sz w:val="16"/>
              <w:szCs w:val="16"/>
            </w:rPr>
            <w:t>4</w:t>
          </w:r>
        </w:p>
        <w:p w:rsidR="00C80E1C" w:rsidRPr="005A2F30" w:rsidRDefault="00C80E1C" w:rsidP="00D91079">
          <w:pPr>
            <w:pStyle w:val="Encabezado"/>
            <w:jc w:val="center"/>
            <w:rPr>
              <w:rFonts w:ascii="Raleway" w:hAnsi="Raleway"/>
              <w:sz w:val="16"/>
              <w:szCs w:val="16"/>
            </w:rPr>
          </w:pPr>
          <w:r w:rsidRPr="005A2F30">
            <w:rPr>
              <w:rFonts w:ascii="Raleway" w:hAnsi="Raleway"/>
              <w:sz w:val="16"/>
              <w:szCs w:val="16"/>
            </w:rPr>
            <w:t>Versión 0</w:t>
          </w:r>
          <w:r w:rsidR="0087072F" w:rsidRPr="005A2F30">
            <w:rPr>
              <w:rFonts w:ascii="Raleway" w:hAnsi="Raleway"/>
              <w:sz w:val="16"/>
              <w:szCs w:val="16"/>
            </w:rPr>
            <w:t>1</w:t>
          </w:r>
        </w:p>
      </w:tc>
    </w:tr>
  </w:tbl>
  <w:p w:rsidR="00494DA4" w:rsidRPr="00D85A04" w:rsidRDefault="00494DA4">
    <w:pPr>
      <w:pStyle w:val="Encabezado"/>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494DA4" w:rsidRPr="00770EC1">
      <w:trPr>
        <w:trHeight w:val="416"/>
      </w:trPr>
      <w:tc>
        <w:tcPr>
          <w:tcW w:w="1418" w:type="dxa"/>
          <w:vMerge w:val="restart"/>
          <w:vAlign w:val="center"/>
        </w:tcPr>
        <w:p w:rsidR="00494DA4" w:rsidRPr="00770EC1" w:rsidRDefault="003E37B9" w:rsidP="00BB3346">
          <w:pPr>
            <w:rPr>
              <w:sz w:val="22"/>
            </w:rPr>
          </w:pPr>
          <w:r w:rsidRPr="00770EC1">
            <w:rPr>
              <w:noProof/>
              <w:sz w:val="22"/>
              <w:lang w:val="es-CO" w:eastAsia="es-CO"/>
            </w:rPr>
            <w:drawing>
              <wp:inline distT="0" distB="0" distL="0" distR="0">
                <wp:extent cx="762000" cy="49530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p>
      </w:tc>
      <w:tc>
        <w:tcPr>
          <w:tcW w:w="3910" w:type="dxa"/>
          <w:vMerge w:val="restart"/>
          <w:vAlign w:val="center"/>
        </w:tcPr>
        <w:p w:rsidR="00494DA4" w:rsidRPr="00770EC1" w:rsidRDefault="00494DA4" w:rsidP="00770EC1">
          <w:pPr>
            <w:pStyle w:val="Encabezado"/>
            <w:jc w:val="center"/>
            <w:rPr>
              <w:rFonts w:ascii="Arial" w:hAnsi="Arial" w:cs="Arial"/>
              <w:sz w:val="20"/>
              <w:szCs w:val="20"/>
            </w:rPr>
          </w:pPr>
        </w:p>
      </w:tc>
      <w:tc>
        <w:tcPr>
          <w:tcW w:w="4140" w:type="dxa"/>
          <w:vAlign w:val="center"/>
        </w:tcPr>
        <w:p w:rsidR="00494DA4" w:rsidRPr="00770EC1" w:rsidRDefault="00494DA4"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rsidR="00494DA4" w:rsidRPr="00770EC1" w:rsidRDefault="00494DA4" w:rsidP="00BB3346">
          <w:pPr>
            <w:rPr>
              <w:rFonts w:ascii="Arial" w:hAnsi="Arial" w:cs="Arial"/>
              <w:sz w:val="16"/>
              <w:lang w:val="pt-BR"/>
            </w:rPr>
          </w:pPr>
          <w:r w:rsidRPr="00770EC1">
            <w:rPr>
              <w:rFonts w:ascii="Arial" w:hAnsi="Arial" w:cs="Arial"/>
              <w:sz w:val="16"/>
              <w:lang w:val="pt-BR"/>
            </w:rPr>
            <w:t>ECA-MC-C03</w:t>
          </w:r>
        </w:p>
      </w:tc>
      <w:tc>
        <w:tcPr>
          <w:tcW w:w="1260" w:type="dxa"/>
          <w:gridSpan w:val="2"/>
          <w:vAlign w:val="center"/>
        </w:tcPr>
        <w:p w:rsidR="00494DA4" w:rsidRPr="00770EC1" w:rsidRDefault="00494DA4" w:rsidP="00770EC1">
          <w:pPr>
            <w:jc w:val="center"/>
            <w:rPr>
              <w:rFonts w:ascii="Arial" w:hAnsi="Arial" w:cs="Arial"/>
              <w:sz w:val="16"/>
              <w:lang w:val="es-CR"/>
            </w:rPr>
          </w:pPr>
          <w:r w:rsidRPr="00770EC1">
            <w:rPr>
              <w:rFonts w:ascii="Arial" w:hAnsi="Arial" w:cs="Arial"/>
              <w:sz w:val="16"/>
              <w:lang w:val="es-CR"/>
            </w:rPr>
            <w:t>Páginas:</w:t>
          </w:r>
        </w:p>
        <w:p w:rsidR="00494DA4" w:rsidRPr="00770EC1" w:rsidRDefault="00494DA4"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494DA4" w:rsidRPr="00770EC1">
      <w:trPr>
        <w:trHeight w:val="416"/>
      </w:trPr>
      <w:tc>
        <w:tcPr>
          <w:tcW w:w="1418" w:type="dxa"/>
          <w:vMerge/>
          <w:vAlign w:val="center"/>
        </w:tcPr>
        <w:p w:rsidR="00494DA4" w:rsidRPr="00770EC1" w:rsidRDefault="00494DA4" w:rsidP="00BB3346">
          <w:pPr>
            <w:rPr>
              <w:sz w:val="22"/>
            </w:rPr>
          </w:pPr>
        </w:p>
      </w:tc>
      <w:tc>
        <w:tcPr>
          <w:tcW w:w="3910" w:type="dxa"/>
          <w:vMerge/>
          <w:vAlign w:val="center"/>
        </w:tcPr>
        <w:p w:rsidR="00494DA4" w:rsidRPr="00770EC1" w:rsidRDefault="00494DA4" w:rsidP="00770EC1">
          <w:pPr>
            <w:pStyle w:val="Encabezado"/>
            <w:jc w:val="center"/>
            <w:rPr>
              <w:rFonts w:ascii="Arial" w:hAnsi="Arial" w:cs="Arial"/>
              <w:color w:val="000000"/>
              <w:sz w:val="20"/>
              <w:szCs w:val="20"/>
            </w:rPr>
          </w:pPr>
        </w:p>
      </w:tc>
      <w:tc>
        <w:tcPr>
          <w:tcW w:w="4140" w:type="dxa"/>
          <w:vAlign w:val="center"/>
        </w:tcPr>
        <w:p w:rsidR="00494DA4" w:rsidRPr="00770EC1" w:rsidRDefault="00494DA4" w:rsidP="00BB3346">
          <w:pPr>
            <w:rPr>
              <w:rFonts w:ascii="Arial" w:hAnsi="Arial" w:cs="Arial"/>
              <w:sz w:val="16"/>
              <w:lang w:val="pt-BR"/>
            </w:rPr>
          </w:pPr>
        </w:p>
      </w:tc>
      <w:tc>
        <w:tcPr>
          <w:tcW w:w="1260" w:type="dxa"/>
          <w:gridSpan w:val="2"/>
          <w:vAlign w:val="center"/>
        </w:tcPr>
        <w:p w:rsidR="00494DA4" w:rsidRPr="00770EC1" w:rsidRDefault="00494DA4" w:rsidP="00770EC1">
          <w:pPr>
            <w:jc w:val="center"/>
            <w:rPr>
              <w:rFonts w:ascii="Arial" w:hAnsi="Arial" w:cs="Arial"/>
              <w:sz w:val="16"/>
              <w:lang w:val="es-CR"/>
            </w:rPr>
          </w:pPr>
        </w:p>
      </w:tc>
    </w:tr>
    <w:tr w:rsidR="00494DA4" w:rsidRPr="00770EC1">
      <w:trPr>
        <w:trHeight w:val="428"/>
      </w:trPr>
      <w:tc>
        <w:tcPr>
          <w:tcW w:w="1418" w:type="dxa"/>
          <w:vMerge/>
          <w:vAlign w:val="center"/>
        </w:tcPr>
        <w:p w:rsidR="00494DA4" w:rsidRPr="00770EC1" w:rsidRDefault="00494DA4" w:rsidP="00BB3346">
          <w:pPr>
            <w:rPr>
              <w:noProof/>
              <w:sz w:val="22"/>
            </w:rPr>
          </w:pPr>
        </w:p>
      </w:tc>
      <w:tc>
        <w:tcPr>
          <w:tcW w:w="3910" w:type="dxa"/>
          <w:vMerge/>
          <w:vAlign w:val="center"/>
        </w:tcPr>
        <w:p w:rsidR="00494DA4" w:rsidRPr="00770EC1" w:rsidRDefault="00494DA4" w:rsidP="00BB3346">
          <w:pPr>
            <w:rPr>
              <w:sz w:val="22"/>
            </w:rPr>
          </w:pPr>
        </w:p>
      </w:tc>
      <w:tc>
        <w:tcPr>
          <w:tcW w:w="4140" w:type="dxa"/>
          <w:vAlign w:val="center"/>
        </w:tcPr>
        <w:p w:rsidR="00494DA4" w:rsidRPr="00770EC1" w:rsidRDefault="00494DA4" w:rsidP="00BB3346">
          <w:pPr>
            <w:pStyle w:val="Encabezado"/>
            <w:rPr>
              <w:rFonts w:ascii="Arial" w:hAnsi="Arial" w:cs="Arial"/>
              <w:sz w:val="16"/>
              <w:lang w:val="es-CR"/>
            </w:rPr>
          </w:pPr>
          <w:r w:rsidRPr="00770EC1">
            <w:rPr>
              <w:rFonts w:ascii="Arial" w:hAnsi="Arial" w:cs="Arial"/>
              <w:sz w:val="16"/>
              <w:lang w:val="es-CR"/>
            </w:rPr>
            <w:t>Fecha emisión:</w:t>
          </w:r>
        </w:p>
        <w:p w:rsidR="00494DA4" w:rsidRPr="00770EC1" w:rsidRDefault="00494DA4"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rsidR="00494DA4" w:rsidRPr="00770EC1" w:rsidRDefault="00494DA4" w:rsidP="00770EC1">
          <w:pPr>
            <w:jc w:val="center"/>
            <w:rPr>
              <w:rFonts w:ascii="Arial" w:hAnsi="Arial" w:cs="Arial"/>
              <w:sz w:val="16"/>
              <w:lang w:val="es-CR"/>
            </w:rPr>
          </w:pPr>
          <w:r w:rsidRPr="00770EC1">
            <w:rPr>
              <w:rFonts w:ascii="Arial" w:hAnsi="Arial" w:cs="Arial"/>
              <w:sz w:val="16"/>
              <w:lang w:val="es-CR"/>
            </w:rPr>
            <w:t>Versión:</w:t>
          </w:r>
        </w:p>
        <w:p w:rsidR="00494DA4" w:rsidRPr="00770EC1" w:rsidRDefault="00494DA4" w:rsidP="00770EC1">
          <w:pPr>
            <w:jc w:val="center"/>
            <w:rPr>
              <w:rFonts w:ascii="Arial" w:hAnsi="Arial" w:cs="Arial"/>
              <w:sz w:val="16"/>
            </w:rPr>
          </w:pPr>
          <w:r w:rsidRPr="00770EC1">
            <w:rPr>
              <w:rFonts w:ascii="Arial" w:hAnsi="Arial" w:cs="Arial"/>
              <w:sz w:val="16"/>
              <w:lang w:val="es-CR"/>
            </w:rPr>
            <w:t>01</w:t>
          </w:r>
        </w:p>
      </w:tc>
    </w:tr>
    <w:tr w:rsidR="00494DA4">
      <w:trPr>
        <w:gridAfter w:val="1"/>
        <w:wAfter w:w="50" w:type="dxa"/>
      </w:trPr>
      <w:tc>
        <w:tcPr>
          <w:tcW w:w="5328" w:type="dxa"/>
          <w:gridSpan w:val="2"/>
          <w:vAlign w:val="center"/>
        </w:tcPr>
        <w:p w:rsidR="00494DA4" w:rsidRDefault="00494DA4" w:rsidP="00770EC1">
          <w:pPr>
            <w:pStyle w:val="Encabezado"/>
            <w:jc w:val="center"/>
          </w:pPr>
          <w:r w:rsidRPr="00770EC1">
            <w:rPr>
              <w:rFonts w:ascii="Arial" w:hAnsi="Arial" w:cs="Arial"/>
              <w:color w:val="000000"/>
              <w:sz w:val="20"/>
              <w:szCs w:val="20"/>
            </w:rPr>
            <w:t>NORMA INTE-ISO/IEC 17020:2000</w:t>
          </w:r>
        </w:p>
      </w:tc>
      <w:tc>
        <w:tcPr>
          <w:tcW w:w="5350" w:type="dxa"/>
          <w:gridSpan w:val="2"/>
          <w:vAlign w:val="center"/>
        </w:tcPr>
        <w:p w:rsidR="00494DA4" w:rsidRDefault="00494DA4" w:rsidP="00770EC1">
          <w:pPr>
            <w:pStyle w:val="Encabezado"/>
            <w:jc w:val="center"/>
          </w:pPr>
          <w:r w:rsidRPr="00770EC1">
            <w:rPr>
              <w:rFonts w:ascii="Arial" w:hAnsi="Arial" w:cs="Arial"/>
              <w:color w:val="000000"/>
              <w:sz w:val="20"/>
              <w:szCs w:val="20"/>
            </w:rPr>
            <w:t>CRITERIOS PARA LA EVALUACIÓN DE LA NORMA INTE-ISO/IEC 17020:2000</w:t>
          </w:r>
        </w:p>
      </w:tc>
    </w:tr>
  </w:tbl>
  <w:p w:rsidR="00494DA4" w:rsidRDefault="00494D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0913"/>
    <w:multiLevelType w:val="hybridMultilevel"/>
    <w:tmpl w:val="F4AAE196"/>
    <w:lvl w:ilvl="0" w:tplc="4E100FA4">
      <w:start w:val="6"/>
      <w:numFmt w:val="decimal"/>
      <w:lvlText w:val="%1."/>
      <w:lvlJc w:val="left"/>
      <w:pPr>
        <w:tabs>
          <w:tab w:val="num" w:pos="469"/>
        </w:tabs>
        <w:ind w:left="469" w:hanging="360"/>
      </w:pPr>
      <w:rPr>
        <w:rFonts w:hint="default"/>
      </w:rPr>
    </w:lvl>
    <w:lvl w:ilvl="1" w:tplc="623AD604">
      <w:start w:val="1"/>
      <w:numFmt w:val="lowerLetter"/>
      <w:lvlText w:val="%2."/>
      <w:lvlJc w:val="left"/>
      <w:pPr>
        <w:tabs>
          <w:tab w:val="num" w:pos="1189"/>
        </w:tabs>
        <w:ind w:left="1189" w:hanging="360"/>
      </w:pPr>
    </w:lvl>
    <w:lvl w:ilvl="2" w:tplc="D61A336E" w:tentative="1">
      <w:start w:val="1"/>
      <w:numFmt w:val="lowerRoman"/>
      <w:lvlText w:val="%3."/>
      <w:lvlJc w:val="right"/>
      <w:pPr>
        <w:tabs>
          <w:tab w:val="num" w:pos="1909"/>
        </w:tabs>
        <w:ind w:left="1909" w:hanging="180"/>
      </w:pPr>
    </w:lvl>
    <w:lvl w:ilvl="3" w:tplc="8F484772" w:tentative="1">
      <w:start w:val="1"/>
      <w:numFmt w:val="decimal"/>
      <w:lvlText w:val="%4."/>
      <w:lvlJc w:val="left"/>
      <w:pPr>
        <w:tabs>
          <w:tab w:val="num" w:pos="2629"/>
        </w:tabs>
        <w:ind w:left="2629" w:hanging="360"/>
      </w:pPr>
    </w:lvl>
    <w:lvl w:ilvl="4" w:tplc="6D908640" w:tentative="1">
      <w:start w:val="1"/>
      <w:numFmt w:val="lowerLetter"/>
      <w:lvlText w:val="%5."/>
      <w:lvlJc w:val="left"/>
      <w:pPr>
        <w:tabs>
          <w:tab w:val="num" w:pos="3349"/>
        </w:tabs>
        <w:ind w:left="3349" w:hanging="360"/>
      </w:pPr>
    </w:lvl>
    <w:lvl w:ilvl="5" w:tplc="CB1465FE" w:tentative="1">
      <w:start w:val="1"/>
      <w:numFmt w:val="lowerRoman"/>
      <w:lvlText w:val="%6."/>
      <w:lvlJc w:val="right"/>
      <w:pPr>
        <w:tabs>
          <w:tab w:val="num" w:pos="4069"/>
        </w:tabs>
        <w:ind w:left="4069" w:hanging="180"/>
      </w:pPr>
    </w:lvl>
    <w:lvl w:ilvl="6" w:tplc="59269614" w:tentative="1">
      <w:start w:val="1"/>
      <w:numFmt w:val="decimal"/>
      <w:lvlText w:val="%7."/>
      <w:lvlJc w:val="left"/>
      <w:pPr>
        <w:tabs>
          <w:tab w:val="num" w:pos="4789"/>
        </w:tabs>
        <w:ind w:left="4789" w:hanging="360"/>
      </w:pPr>
    </w:lvl>
    <w:lvl w:ilvl="7" w:tplc="2864FB3A" w:tentative="1">
      <w:start w:val="1"/>
      <w:numFmt w:val="lowerLetter"/>
      <w:lvlText w:val="%8."/>
      <w:lvlJc w:val="left"/>
      <w:pPr>
        <w:tabs>
          <w:tab w:val="num" w:pos="5509"/>
        </w:tabs>
        <w:ind w:left="5509" w:hanging="360"/>
      </w:pPr>
    </w:lvl>
    <w:lvl w:ilvl="8" w:tplc="AD669F8E" w:tentative="1">
      <w:start w:val="1"/>
      <w:numFmt w:val="lowerRoman"/>
      <w:lvlText w:val="%9."/>
      <w:lvlJc w:val="right"/>
      <w:pPr>
        <w:tabs>
          <w:tab w:val="num" w:pos="6229"/>
        </w:tabs>
        <w:ind w:left="6229" w:hanging="180"/>
      </w:pPr>
    </w:lvl>
  </w:abstractNum>
  <w:abstractNum w:abstractNumId="1">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4">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6">
    <w:nsid w:val="26543118"/>
    <w:multiLevelType w:val="hybridMultilevel"/>
    <w:tmpl w:val="FE1887AE"/>
    <w:lvl w:ilvl="0" w:tplc="2A8A6B5E">
      <w:start w:val="12"/>
      <w:numFmt w:val="decimal"/>
      <w:lvlText w:val="%1."/>
      <w:lvlJc w:val="left"/>
      <w:pPr>
        <w:tabs>
          <w:tab w:val="num" w:pos="469"/>
        </w:tabs>
        <w:ind w:left="469" w:hanging="360"/>
      </w:pPr>
      <w:rPr>
        <w:rFonts w:hint="default"/>
      </w:rPr>
    </w:lvl>
    <w:lvl w:ilvl="1" w:tplc="501A57C2">
      <w:start w:val="1"/>
      <w:numFmt w:val="lowerLetter"/>
      <w:lvlText w:val="%2."/>
      <w:lvlJc w:val="left"/>
      <w:pPr>
        <w:tabs>
          <w:tab w:val="num" w:pos="1189"/>
        </w:tabs>
        <w:ind w:left="1189" w:hanging="360"/>
      </w:pPr>
    </w:lvl>
    <w:lvl w:ilvl="2" w:tplc="FE4C5130" w:tentative="1">
      <w:start w:val="1"/>
      <w:numFmt w:val="lowerRoman"/>
      <w:lvlText w:val="%3."/>
      <w:lvlJc w:val="right"/>
      <w:pPr>
        <w:tabs>
          <w:tab w:val="num" w:pos="1909"/>
        </w:tabs>
        <w:ind w:left="1909" w:hanging="180"/>
      </w:pPr>
    </w:lvl>
    <w:lvl w:ilvl="3" w:tplc="2D3A9944" w:tentative="1">
      <w:start w:val="1"/>
      <w:numFmt w:val="decimal"/>
      <w:lvlText w:val="%4."/>
      <w:lvlJc w:val="left"/>
      <w:pPr>
        <w:tabs>
          <w:tab w:val="num" w:pos="2629"/>
        </w:tabs>
        <w:ind w:left="2629" w:hanging="360"/>
      </w:pPr>
    </w:lvl>
    <w:lvl w:ilvl="4" w:tplc="2A9613F4" w:tentative="1">
      <w:start w:val="1"/>
      <w:numFmt w:val="lowerLetter"/>
      <w:lvlText w:val="%5."/>
      <w:lvlJc w:val="left"/>
      <w:pPr>
        <w:tabs>
          <w:tab w:val="num" w:pos="3349"/>
        </w:tabs>
        <w:ind w:left="3349" w:hanging="360"/>
      </w:pPr>
    </w:lvl>
    <w:lvl w:ilvl="5" w:tplc="EF226F74" w:tentative="1">
      <w:start w:val="1"/>
      <w:numFmt w:val="lowerRoman"/>
      <w:lvlText w:val="%6."/>
      <w:lvlJc w:val="right"/>
      <w:pPr>
        <w:tabs>
          <w:tab w:val="num" w:pos="4069"/>
        </w:tabs>
        <w:ind w:left="4069" w:hanging="180"/>
      </w:pPr>
    </w:lvl>
    <w:lvl w:ilvl="6" w:tplc="4D3C625A" w:tentative="1">
      <w:start w:val="1"/>
      <w:numFmt w:val="decimal"/>
      <w:lvlText w:val="%7."/>
      <w:lvlJc w:val="left"/>
      <w:pPr>
        <w:tabs>
          <w:tab w:val="num" w:pos="4789"/>
        </w:tabs>
        <w:ind w:left="4789" w:hanging="360"/>
      </w:pPr>
    </w:lvl>
    <w:lvl w:ilvl="7" w:tplc="866A2144" w:tentative="1">
      <w:start w:val="1"/>
      <w:numFmt w:val="lowerLetter"/>
      <w:lvlText w:val="%8."/>
      <w:lvlJc w:val="left"/>
      <w:pPr>
        <w:tabs>
          <w:tab w:val="num" w:pos="5509"/>
        </w:tabs>
        <w:ind w:left="5509" w:hanging="360"/>
      </w:pPr>
    </w:lvl>
    <w:lvl w:ilvl="8" w:tplc="9272A162" w:tentative="1">
      <w:start w:val="1"/>
      <w:numFmt w:val="lowerRoman"/>
      <w:lvlText w:val="%9."/>
      <w:lvlJc w:val="right"/>
      <w:pPr>
        <w:tabs>
          <w:tab w:val="num" w:pos="6229"/>
        </w:tabs>
        <w:ind w:left="6229" w:hanging="180"/>
      </w:pPr>
    </w:lvl>
  </w:abstractNum>
  <w:abstractNum w:abstractNumId="7">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9">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0">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34624612"/>
    <w:multiLevelType w:val="hybridMultilevel"/>
    <w:tmpl w:val="5F26905E"/>
    <w:lvl w:ilvl="0" w:tplc="3E022808">
      <w:start w:val="3"/>
      <w:numFmt w:val="decimal"/>
      <w:lvlText w:val="%1."/>
      <w:lvlJc w:val="left"/>
      <w:pPr>
        <w:tabs>
          <w:tab w:val="num" w:pos="720"/>
        </w:tabs>
        <w:ind w:left="720" w:hanging="360"/>
      </w:pPr>
      <w:rPr>
        <w:rFonts w:hint="default"/>
      </w:rPr>
    </w:lvl>
    <w:lvl w:ilvl="1" w:tplc="1506D478" w:tentative="1">
      <w:start w:val="1"/>
      <w:numFmt w:val="lowerLetter"/>
      <w:lvlText w:val="%2."/>
      <w:lvlJc w:val="left"/>
      <w:pPr>
        <w:tabs>
          <w:tab w:val="num" w:pos="1440"/>
        </w:tabs>
        <w:ind w:left="1440" w:hanging="360"/>
      </w:pPr>
    </w:lvl>
    <w:lvl w:ilvl="2" w:tplc="A8FA0C68" w:tentative="1">
      <w:start w:val="1"/>
      <w:numFmt w:val="lowerRoman"/>
      <w:lvlText w:val="%3."/>
      <w:lvlJc w:val="right"/>
      <w:pPr>
        <w:tabs>
          <w:tab w:val="num" w:pos="2160"/>
        </w:tabs>
        <w:ind w:left="2160" w:hanging="180"/>
      </w:pPr>
    </w:lvl>
    <w:lvl w:ilvl="3" w:tplc="69B25938" w:tentative="1">
      <w:start w:val="1"/>
      <w:numFmt w:val="decimal"/>
      <w:lvlText w:val="%4."/>
      <w:lvlJc w:val="left"/>
      <w:pPr>
        <w:tabs>
          <w:tab w:val="num" w:pos="2880"/>
        </w:tabs>
        <w:ind w:left="2880" w:hanging="360"/>
      </w:pPr>
    </w:lvl>
    <w:lvl w:ilvl="4" w:tplc="28ACA8E4" w:tentative="1">
      <w:start w:val="1"/>
      <w:numFmt w:val="lowerLetter"/>
      <w:lvlText w:val="%5."/>
      <w:lvlJc w:val="left"/>
      <w:pPr>
        <w:tabs>
          <w:tab w:val="num" w:pos="3600"/>
        </w:tabs>
        <w:ind w:left="3600" w:hanging="360"/>
      </w:pPr>
    </w:lvl>
    <w:lvl w:ilvl="5" w:tplc="D2D27764" w:tentative="1">
      <w:start w:val="1"/>
      <w:numFmt w:val="lowerRoman"/>
      <w:lvlText w:val="%6."/>
      <w:lvlJc w:val="right"/>
      <w:pPr>
        <w:tabs>
          <w:tab w:val="num" w:pos="4320"/>
        </w:tabs>
        <w:ind w:left="4320" w:hanging="180"/>
      </w:pPr>
    </w:lvl>
    <w:lvl w:ilvl="6" w:tplc="AFD051D8" w:tentative="1">
      <w:start w:val="1"/>
      <w:numFmt w:val="decimal"/>
      <w:lvlText w:val="%7."/>
      <w:lvlJc w:val="left"/>
      <w:pPr>
        <w:tabs>
          <w:tab w:val="num" w:pos="5040"/>
        </w:tabs>
        <w:ind w:left="5040" w:hanging="360"/>
      </w:pPr>
    </w:lvl>
    <w:lvl w:ilvl="7" w:tplc="39EA4AAE" w:tentative="1">
      <w:start w:val="1"/>
      <w:numFmt w:val="lowerLetter"/>
      <w:lvlText w:val="%8."/>
      <w:lvlJc w:val="left"/>
      <w:pPr>
        <w:tabs>
          <w:tab w:val="num" w:pos="5760"/>
        </w:tabs>
        <w:ind w:left="5760" w:hanging="360"/>
      </w:pPr>
    </w:lvl>
    <w:lvl w:ilvl="8" w:tplc="6254867A" w:tentative="1">
      <w:start w:val="1"/>
      <w:numFmt w:val="lowerRoman"/>
      <w:lvlText w:val="%9."/>
      <w:lvlJc w:val="right"/>
      <w:pPr>
        <w:tabs>
          <w:tab w:val="num" w:pos="6480"/>
        </w:tabs>
        <w:ind w:left="6480" w:hanging="180"/>
      </w:pPr>
    </w:lvl>
  </w:abstractNum>
  <w:abstractNum w:abstractNumId="12">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5">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7">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2">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3">
    <w:nsid w:val="59EE42E0"/>
    <w:multiLevelType w:val="hybridMultilevel"/>
    <w:tmpl w:val="131EEC1E"/>
    <w:lvl w:ilvl="0" w:tplc="E6002152">
      <w:start w:val="1"/>
      <w:numFmt w:val="lowerLetter"/>
      <w:lvlText w:val="%1)"/>
      <w:lvlJc w:val="left"/>
      <w:pPr>
        <w:tabs>
          <w:tab w:val="num" w:pos="720"/>
        </w:tabs>
        <w:ind w:left="720" w:hanging="360"/>
      </w:pPr>
      <w:rPr>
        <w:rFonts w:hint="default"/>
      </w:rPr>
    </w:lvl>
    <w:lvl w:ilvl="1" w:tplc="88EE79BA" w:tentative="1">
      <w:start w:val="1"/>
      <w:numFmt w:val="lowerLetter"/>
      <w:lvlText w:val="%2."/>
      <w:lvlJc w:val="left"/>
      <w:pPr>
        <w:tabs>
          <w:tab w:val="num" w:pos="1440"/>
        </w:tabs>
        <w:ind w:left="1440" w:hanging="360"/>
      </w:pPr>
    </w:lvl>
    <w:lvl w:ilvl="2" w:tplc="440E63BA" w:tentative="1">
      <w:start w:val="1"/>
      <w:numFmt w:val="lowerRoman"/>
      <w:lvlText w:val="%3."/>
      <w:lvlJc w:val="right"/>
      <w:pPr>
        <w:tabs>
          <w:tab w:val="num" w:pos="2160"/>
        </w:tabs>
        <w:ind w:left="2160" w:hanging="180"/>
      </w:pPr>
    </w:lvl>
    <w:lvl w:ilvl="3" w:tplc="46A215E6" w:tentative="1">
      <w:start w:val="1"/>
      <w:numFmt w:val="decimal"/>
      <w:lvlText w:val="%4."/>
      <w:lvlJc w:val="left"/>
      <w:pPr>
        <w:tabs>
          <w:tab w:val="num" w:pos="2880"/>
        </w:tabs>
        <w:ind w:left="2880" w:hanging="360"/>
      </w:pPr>
    </w:lvl>
    <w:lvl w:ilvl="4" w:tplc="9A681CD2" w:tentative="1">
      <w:start w:val="1"/>
      <w:numFmt w:val="lowerLetter"/>
      <w:lvlText w:val="%5."/>
      <w:lvlJc w:val="left"/>
      <w:pPr>
        <w:tabs>
          <w:tab w:val="num" w:pos="3600"/>
        </w:tabs>
        <w:ind w:left="3600" w:hanging="360"/>
      </w:pPr>
    </w:lvl>
    <w:lvl w:ilvl="5" w:tplc="FEF22926" w:tentative="1">
      <w:start w:val="1"/>
      <w:numFmt w:val="lowerRoman"/>
      <w:lvlText w:val="%6."/>
      <w:lvlJc w:val="right"/>
      <w:pPr>
        <w:tabs>
          <w:tab w:val="num" w:pos="4320"/>
        </w:tabs>
        <w:ind w:left="4320" w:hanging="180"/>
      </w:pPr>
    </w:lvl>
    <w:lvl w:ilvl="6" w:tplc="E5207D7E" w:tentative="1">
      <w:start w:val="1"/>
      <w:numFmt w:val="decimal"/>
      <w:lvlText w:val="%7."/>
      <w:lvlJc w:val="left"/>
      <w:pPr>
        <w:tabs>
          <w:tab w:val="num" w:pos="5040"/>
        </w:tabs>
        <w:ind w:left="5040" w:hanging="360"/>
      </w:pPr>
    </w:lvl>
    <w:lvl w:ilvl="7" w:tplc="C1BAA612" w:tentative="1">
      <w:start w:val="1"/>
      <w:numFmt w:val="lowerLetter"/>
      <w:lvlText w:val="%8."/>
      <w:lvlJc w:val="left"/>
      <w:pPr>
        <w:tabs>
          <w:tab w:val="num" w:pos="5760"/>
        </w:tabs>
        <w:ind w:left="5760" w:hanging="360"/>
      </w:pPr>
    </w:lvl>
    <w:lvl w:ilvl="8" w:tplc="ABFEAC08" w:tentative="1">
      <w:start w:val="1"/>
      <w:numFmt w:val="lowerRoman"/>
      <w:lvlText w:val="%9."/>
      <w:lvlJc w:val="right"/>
      <w:pPr>
        <w:tabs>
          <w:tab w:val="num" w:pos="6480"/>
        </w:tabs>
        <w:ind w:left="6480" w:hanging="180"/>
      </w:pPr>
    </w:lvl>
  </w:abstractNum>
  <w:abstractNum w:abstractNumId="24">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6">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9"/>
  </w:num>
  <w:num w:numId="3">
    <w:abstractNumId w:val="5"/>
  </w:num>
  <w:num w:numId="4">
    <w:abstractNumId w:val="5"/>
    <w:lvlOverride w:ilvl="0">
      <w:lvl w:ilvl="0">
        <w:start w:val="1"/>
        <w:numFmt w:val="lowerLetter"/>
        <w:lvlText w:val="%1)"/>
        <w:legacy w:legacy="1" w:legacySpace="0" w:legacyIndent="283"/>
        <w:lvlJc w:val="left"/>
        <w:pPr>
          <w:ind w:left="283" w:hanging="283"/>
        </w:pPr>
      </w:lvl>
    </w:lvlOverride>
  </w:num>
  <w:num w:numId="5">
    <w:abstractNumId w:val="22"/>
  </w:num>
  <w:num w:numId="6">
    <w:abstractNumId w:val="3"/>
  </w:num>
  <w:num w:numId="7">
    <w:abstractNumId w:val="8"/>
  </w:num>
  <w:num w:numId="8">
    <w:abstractNumId w:val="14"/>
  </w:num>
  <w:num w:numId="9">
    <w:abstractNumId w:val="16"/>
  </w:num>
  <w:num w:numId="10">
    <w:abstractNumId w:val="11"/>
  </w:num>
  <w:num w:numId="11">
    <w:abstractNumId w:val="0"/>
  </w:num>
  <w:num w:numId="12">
    <w:abstractNumId w:val="23"/>
  </w:num>
  <w:num w:numId="13">
    <w:abstractNumId w:val="6"/>
  </w:num>
  <w:num w:numId="14">
    <w:abstractNumId w:val="17"/>
  </w:num>
  <w:num w:numId="15">
    <w:abstractNumId w:val="21"/>
  </w:num>
  <w:num w:numId="16">
    <w:abstractNumId w:val="12"/>
  </w:num>
  <w:num w:numId="17">
    <w:abstractNumId w:val="20"/>
  </w:num>
  <w:num w:numId="18">
    <w:abstractNumId w:val="4"/>
  </w:num>
  <w:num w:numId="19">
    <w:abstractNumId w:val="1"/>
  </w:num>
  <w:num w:numId="20">
    <w:abstractNumId w:val="10"/>
  </w:num>
  <w:num w:numId="21">
    <w:abstractNumId w:val="25"/>
  </w:num>
  <w:num w:numId="22">
    <w:abstractNumId w:val="2"/>
  </w:num>
  <w:num w:numId="23">
    <w:abstractNumId w:val="15"/>
  </w:num>
  <w:num w:numId="24">
    <w:abstractNumId w:val="13"/>
  </w:num>
  <w:num w:numId="25">
    <w:abstractNumId w:val="26"/>
  </w:num>
  <w:num w:numId="26">
    <w:abstractNumId w:val="24"/>
  </w:num>
  <w:num w:numId="27">
    <w:abstractNumId w:val="18"/>
  </w:num>
  <w:num w:numId="28">
    <w:abstractNumId w:val="7"/>
  </w:num>
  <w:num w:numId="29">
    <w:abstractNumId w:val="19"/>
  </w:num>
  <w:num w:numId="30">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892"/>
    <w:rsid w:val="00000056"/>
    <w:rsid w:val="000118F3"/>
    <w:rsid w:val="00012347"/>
    <w:rsid w:val="0001347D"/>
    <w:rsid w:val="000159DC"/>
    <w:rsid w:val="00021E12"/>
    <w:rsid w:val="0002247A"/>
    <w:rsid w:val="0002446C"/>
    <w:rsid w:val="00031079"/>
    <w:rsid w:val="00036B3A"/>
    <w:rsid w:val="00041E42"/>
    <w:rsid w:val="00046DF6"/>
    <w:rsid w:val="00047765"/>
    <w:rsid w:val="0005388E"/>
    <w:rsid w:val="00055419"/>
    <w:rsid w:val="00060FF3"/>
    <w:rsid w:val="00061739"/>
    <w:rsid w:val="000632AD"/>
    <w:rsid w:val="000633D1"/>
    <w:rsid w:val="000655D6"/>
    <w:rsid w:val="0006580E"/>
    <w:rsid w:val="00066435"/>
    <w:rsid w:val="0007051A"/>
    <w:rsid w:val="00072B31"/>
    <w:rsid w:val="00074E38"/>
    <w:rsid w:val="00086C1B"/>
    <w:rsid w:val="00087C41"/>
    <w:rsid w:val="000A6363"/>
    <w:rsid w:val="000B0BC6"/>
    <w:rsid w:val="000B5BE6"/>
    <w:rsid w:val="000C05C3"/>
    <w:rsid w:val="000C0F24"/>
    <w:rsid w:val="000C234B"/>
    <w:rsid w:val="000C7E6F"/>
    <w:rsid w:val="000D296E"/>
    <w:rsid w:val="000E23ED"/>
    <w:rsid w:val="000E4C0F"/>
    <w:rsid w:val="000F169D"/>
    <w:rsid w:val="000F29D9"/>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6316B"/>
    <w:rsid w:val="00181930"/>
    <w:rsid w:val="0018636A"/>
    <w:rsid w:val="001910F1"/>
    <w:rsid w:val="00193DBC"/>
    <w:rsid w:val="001950A4"/>
    <w:rsid w:val="001A01EC"/>
    <w:rsid w:val="001B307A"/>
    <w:rsid w:val="001B46F0"/>
    <w:rsid w:val="001B72F1"/>
    <w:rsid w:val="001C07C9"/>
    <w:rsid w:val="001C777F"/>
    <w:rsid w:val="001D66E3"/>
    <w:rsid w:val="001D6872"/>
    <w:rsid w:val="001D7E85"/>
    <w:rsid w:val="001E270A"/>
    <w:rsid w:val="001E5115"/>
    <w:rsid w:val="001E6DC9"/>
    <w:rsid w:val="001F2402"/>
    <w:rsid w:val="001F5635"/>
    <w:rsid w:val="001F56C0"/>
    <w:rsid w:val="001F59EF"/>
    <w:rsid w:val="0020088F"/>
    <w:rsid w:val="00205938"/>
    <w:rsid w:val="0020734A"/>
    <w:rsid w:val="0021021C"/>
    <w:rsid w:val="00213F64"/>
    <w:rsid w:val="00215090"/>
    <w:rsid w:val="00216A11"/>
    <w:rsid w:val="00226892"/>
    <w:rsid w:val="0022776D"/>
    <w:rsid w:val="002374CB"/>
    <w:rsid w:val="002513A8"/>
    <w:rsid w:val="00260273"/>
    <w:rsid w:val="00271976"/>
    <w:rsid w:val="00282B1C"/>
    <w:rsid w:val="0028336E"/>
    <w:rsid w:val="00291D74"/>
    <w:rsid w:val="00293DC7"/>
    <w:rsid w:val="002943C7"/>
    <w:rsid w:val="00294432"/>
    <w:rsid w:val="00297F77"/>
    <w:rsid w:val="002A044F"/>
    <w:rsid w:val="002A2A30"/>
    <w:rsid w:val="002A532F"/>
    <w:rsid w:val="002A70F6"/>
    <w:rsid w:val="002B100B"/>
    <w:rsid w:val="002B1B09"/>
    <w:rsid w:val="002B7ED4"/>
    <w:rsid w:val="002C432E"/>
    <w:rsid w:val="002D49A8"/>
    <w:rsid w:val="002E0E77"/>
    <w:rsid w:val="002E4C0E"/>
    <w:rsid w:val="002E633E"/>
    <w:rsid w:val="002F51B8"/>
    <w:rsid w:val="0030122D"/>
    <w:rsid w:val="00302851"/>
    <w:rsid w:val="00303C1A"/>
    <w:rsid w:val="00303C8C"/>
    <w:rsid w:val="00307857"/>
    <w:rsid w:val="00314E59"/>
    <w:rsid w:val="00315B71"/>
    <w:rsid w:val="00315DE1"/>
    <w:rsid w:val="003171F9"/>
    <w:rsid w:val="00326CEE"/>
    <w:rsid w:val="003377D1"/>
    <w:rsid w:val="003430F0"/>
    <w:rsid w:val="00346615"/>
    <w:rsid w:val="00361D54"/>
    <w:rsid w:val="003620E5"/>
    <w:rsid w:val="003627C4"/>
    <w:rsid w:val="00365162"/>
    <w:rsid w:val="003660CB"/>
    <w:rsid w:val="00370272"/>
    <w:rsid w:val="00371B4E"/>
    <w:rsid w:val="00372CD2"/>
    <w:rsid w:val="00372D5E"/>
    <w:rsid w:val="00373023"/>
    <w:rsid w:val="003777EB"/>
    <w:rsid w:val="00382495"/>
    <w:rsid w:val="00383349"/>
    <w:rsid w:val="00383453"/>
    <w:rsid w:val="00384598"/>
    <w:rsid w:val="00385EFA"/>
    <w:rsid w:val="00397464"/>
    <w:rsid w:val="003A2FCE"/>
    <w:rsid w:val="003A50F6"/>
    <w:rsid w:val="003B3F44"/>
    <w:rsid w:val="003B6630"/>
    <w:rsid w:val="003C1789"/>
    <w:rsid w:val="003C4555"/>
    <w:rsid w:val="003C60A6"/>
    <w:rsid w:val="003D2908"/>
    <w:rsid w:val="003D33EE"/>
    <w:rsid w:val="003D4C34"/>
    <w:rsid w:val="003D761E"/>
    <w:rsid w:val="003E2C26"/>
    <w:rsid w:val="003E37B9"/>
    <w:rsid w:val="003E3957"/>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50C42"/>
    <w:rsid w:val="004552D3"/>
    <w:rsid w:val="00461291"/>
    <w:rsid w:val="00472B60"/>
    <w:rsid w:val="004764D9"/>
    <w:rsid w:val="00480651"/>
    <w:rsid w:val="00481CFF"/>
    <w:rsid w:val="00481D72"/>
    <w:rsid w:val="00484B22"/>
    <w:rsid w:val="00494DA4"/>
    <w:rsid w:val="00494E10"/>
    <w:rsid w:val="00495483"/>
    <w:rsid w:val="00496254"/>
    <w:rsid w:val="0049755E"/>
    <w:rsid w:val="004A0B87"/>
    <w:rsid w:val="004A36D1"/>
    <w:rsid w:val="004B2B21"/>
    <w:rsid w:val="004B5DF6"/>
    <w:rsid w:val="004B6042"/>
    <w:rsid w:val="004B6B7E"/>
    <w:rsid w:val="004B78D2"/>
    <w:rsid w:val="004C31FE"/>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36B3"/>
    <w:rsid w:val="00541F22"/>
    <w:rsid w:val="00546A75"/>
    <w:rsid w:val="005473C6"/>
    <w:rsid w:val="005558A8"/>
    <w:rsid w:val="00557299"/>
    <w:rsid w:val="00566314"/>
    <w:rsid w:val="00572EE2"/>
    <w:rsid w:val="005768B1"/>
    <w:rsid w:val="00581C74"/>
    <w:rsid w:val="00582B3F"/>
    <w:rsid w:val="00582F00"/>
    <w:rsid w:val="0058303D"/>
    <w:rsid w:val="00584631"/>
    <w:rsid w:val="0058465A"/>
    <w:rsid w:val="005A1341"/>
    <w:rsid w:val="005A1A6E"/>
    <w:rsid w:val="005A2F30"/>
    <w:rsid w:val="005A37F6"/>
    <w:rsid w:val="005A5223"/>
    <w:rsid w:val="005A5E5B"/>
    <w:rsid w:val="005A5F0A"/>
    <w:rsid w:val="005A7CE7"/>
    <w:rsid w:val="005B2788"/>
    <w:rsid w:val="005B2AD3"/>
    <w:rsid w:val="005D08D9"/>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6B95"/>
    <w:rsid w:val="00627AE7"/>
    <w:rsid w:val="00631B51"/>
    <w:rsid w:val="0063504A"/>
    <w:rsid w:val="0064075D"/>
    <w:rsid w:val="00641A4C"/>
    <w:rsid w:val="006459A8"/>
    <w:rsid w:val="00646669"/>
    <w:rsid w:val="00660C84"/>
    <w:rsid w:val="00667945"/>
    <w:rsid w:val="006723A8"/>
    <w:rsid w:val="006739F7"/>
    <w:rsid w:val="00687822"/>
    <w:rsid w:val="006A221B"/>
    <w:rsid w:val="006A2C85"/>
    <w:rsid w:val="006A302F"/>
    <w:rsid w:val="006B17FF"/>
    <w:rsid w:val="006B19A6"/>
    <w:rsid w:val="006B5A21"/>
    <w:rsid w:val="006B5B6D"/>
    <w:rsid w:val="006D500E"/>
    <w:rsid w:val="006E24E8"/>
    <w:rsid w:val="006F2872"/>
    <w:rsid w:val="006F4638"/>
    <w:rsid w:val="00700821"/>
    <w:rsid w:val="00710405"/>
    <w:rsid w:val="00715CB4"/>
    <w:rsid w:val="00722E94"/>
    <w:rsid w:val="007318AC"/>
    <w:rsid w:val="00733609"/>
    <w:rsid w:val="00736B5E"/>
    <w:rsid w:val="00742F37"/>
    <w:rsid w:val="0075354B"/>
    <w:rsid w:val="00755231"/>
    <w:rsid w:val="00760083"/>
    <w:rsid w:val="00760D37"/>
    <w:rsid w:val="0076540A"/>
    <w:rsid w:val="00770EC1"/>
    <w:rsid w:val="00771E10"/>
    <w:rsid w:val="00772707"/>
    <w:rsid w:val="007757C9"/>
    <w:rsid w:val="0077665F"/>
    <w:rsid w:val="007828F1"/>
    <w:rsid w:val="0078292A"/>
    <w:rsid w:val="00783BEF"/>
    <w:rsid w:val="00791008"/>
    <w:rsid w:val="0079564A"/>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44E1"/>
    <w:rsid w:val="00813DFC"/>
    <w:rsid w:val="00824084"/>
    <w:rsid w:val="0082677F"/>
    <w:rsid w:val="00836B61"/>
    <w:rsid w:val="0083746C"/>
    <w:rsid w:val="00843B41"/>
    <w:rsid w:val="008465FC"/>
    <w:rsid w:val="008468AC"/>
    <w:rsid w:val="008507A4"/>
    <w:rsid w:val="00855D85"/>
    <w:rsid w:val="008561AD"/>
    <w:rsid w:val="00865208"/>
    <w:rsid w:val="008655EE"/>
    <w:rsid w:val="008668BE"/>
    <w:rsid w:val="0087072F"/>
    <w:rsid w:val="0088717A"/>
    <w:rsid w:val="00893B31"/>
    <w:rsid w:val="00894340"/>
    <w:rsid w:val="008A1A6F"/>
    <w:rsid w:val="008A37D7"/>
    <w:rsid w:val="008B44DA"/>
    <w:rsid w:val="008C0A42"/>
    <w:rsid w:val="008C1810"/>
    <w:rsid w:val="008C3E30"/>
    <w:rsid w:val="008C662F"/>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6151A"/>
    <w:rsid w:val="009625DB"/>
    <w:rsid w:val="009725B7"/>
    <w:rsid w:val="009727D6"/>
    <w:rsid w:val="00973453"/>
    <w:rsid w:val="009748D7"/>
    <w:rsid w:val="00977766"/>
    <w:rsid w:val="00977A9D"/>
    <w:rsid w:val="009831A8"/>
    <w:rsid w:val="009A40BE"/>
    <w:rsid w:val="009B1A8E"/>
    <w:rsid w:val="009B2515"/>
    <w:rsid w:val="009B7747"/>
    <w:rsid w:val="009B7B96"/>
    <w:rsid w:val="009C2E5D"/>
    <w:rsid w:val="009E2412"/>
    <w:rsid w:val="009E5BA7"/>
    <w:rsid w:val="009E7394"/>
    <w:rsid w:val="009F03A4"/>
    <w:rsid w:val="00A04B6D"/>
    <w:rsid w:val="00A0657E"/>
    <w:rsid w:val="00A066B8"/>
    <w:rsid w:val="00A11A44"/>
    <w:rsid w:val="00A13C90"/>
    <w:rsid w:val="00A15F51"/>
    <w:rsid w:val="00A17700"/>
    <w:rsid w:val="00A17987"/>
    <w:rsid w:val="00A20DF1"/>
    <w:rsid w:val="00A258B4"/>
    <w:rsid w:val="00A32B49"/>
    <w:rsid w:val="00A33B78"/>
    <w:rsid w:val="00A4024E"/>
    <w:rsid w:val="00A40321"/>
    <w:rsid w:val="00A4404B"/>
    <w:rsid w:val="00A4453B"/>
    <w:rsid w:val="00A50062"/>
    <w:rsid w:val="00A50C1A"/>
    <w:rsid w:val="00A53ACD"/>
    <w:rsid w:val="00A562F4"/>
    <w:rsid w:val="00A636C8"/>
    <w:rsid w:val="00A65293"/>
    <w:rsid w:val="00A735DD"/>
    <w:rsid w:val="00A80CCB"/>
    <w:rsid w:val="00A817D6"/>
    <w:rsid w:val="00A85FD2"/>
    <w:rsid w:val="00A90E04"/>
    <w:rsid w:val="00A90FBB"/>
    <w:rsid w:val="00A92204"/>
    <w:rsid w:val="00A9276E"/>
    <w:rsid w:val="00A935EA"/>
    <w:rsid w:val="00AA0814"/>
    <w:rsid w:val="00AA408A"/>
    <w:rsid w:val="00AA54F2"/>
    <w:rsid w:val="00AA7FAA"/>
    <w:rsid w:val="00AB3BE9"/>
    <w:rsid w:val="00AB4724"/>
    <w:rsid w:val="00AB695C"/>
    <w:rsid w:val="00AC4641"/>
    <w:rsid w:val="00AC7B9B"/>
    <w:rsid w:val="00AD4B0D"/>
    <w:rsid w:val="00AD4D9E"/>
    <w:rsid w:val="00AE2AE2"/>
    <w:rsid w:val="00AE481F"/>
    <w:rsid w:val="00AE6F16"/>
    <w:rsid w:val="00AE6F43"/>
    <w:rsid w:val="00AE7C80"/>
    <w:rsid w:val="00B128CB"/>
    <w:rsid w:val="00B154DA"/>
    <w:rsid w:val="00B24083"/>
    <w:rsid w:val="00B2627C"/>
    <w:rsid w:val="00B30098"/>
    <w:rsid w:val="00B32A1E"/>
    <w:rsid w:val="00B341B4"/>
    <w:rsid w:val="00B41323"/>
    <w:rsid w:val="00B46D06"/>
    <w:rsid w:val="00B47F08"/>
    <w:rsid w:val="00B51D1A"/>
    <w:rsid w:val="00B569EA"/>
    <w:rsid w:val="00B5743F"/>
    <w:rsid w:val="00B60ACA"/>
    <w:rsid w:val="00B613BA"/>
    <w:rsid w:val="00B625E2"/>
    <w:rsid w:val="00B7283D"/>
    <w:rsid w:val="00B76014"/>
    <w:rsid w:val="00B767F1"/>
    <w:rsid w:val="00B772A0"/>
    <w:rsid w:val="00B84F55"/>
    <w:rsid w:val="00B850E3"/>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C07EEE"/>
    <w:rsid w:val="00C1244F"/>
    <w:rsid w:val="00C2125A"/>
    <w:rsid w:val="00C23F9A"/>
    <w:rsid w:val="00C266A8"/>
    <w:rsid w:val="00C270FA"/>
    <w:rsid w:val="00C30ED8"/>
    <w:rsid w:val="00C314D4"/>
    <w:rsid w:val="00C3185F"/>
    <w:rsid w:val="00C34175"/>
    <w:rsid w:val="00C34302"/>
    <w:rsid w:val="00C37CA2"/>
    <w:rsid w:val="00C46E47"/>
    <w:rsid w:val="00C47CC3"/>
    <w:rsid w:val="00C538A0"/>
    <w:rsid w:val="00C5720E"/>
    <w:rsid w:val="00C62BBB"/>
    <w:rsid w:val="00C6643E"/>
    <w:rsid w:val="00C74525"/>
    <w:rsid w:val="00C80E1C"/>
    <w:rsid w:val="00C85D7B"/>
    <w:rsid w:val="00C90C97"/>
    <w:rsid w:val="00C965DF"/>
    <w:rsid w:val="00CA517A"/>
    <w:rsid w:val="00CB3D5B"/>
    <w:rsid w:val="00CB5E76"/>
    <w:rsid w:val="00CC2D07"/>
    <w:rsid w:val="00CF1745"/>
    <w:rsid w:val="00CF29D1"/>
    <w:rsid w:val="00CF4C1B"/>
    <w:rsid w:val="00D0423D"/>
    <w:rsid w:val="00D078F7"/>
    <w:rsid w:val="00D11187"/>
    <w:rsid w:val="00D11A13"/>
    <w:rsid w:val="00D20D63"/>
    <w:rsid w:val="00D220E2"/>
    <w:rsid w:val="00D329B7"/>
    <w:rsid w:val="00D32C06"/>
    <w:rsid w:val="00D37D24"/>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2150"/>
    <w:rsid w:val="00E0390E"/>
    <w:rsid w:val="00E076D6"/>
    <w:rsid w:val="00E262FB"/>
    <w:rsid w:val="00E2654B"/>
    <w:rsid w:val="00E30A55"/>
    <w:rsid w:val="00E3610C"/>
    <w:rsid w:val="00E36523"/>
    <w:rsid w:val="00E413DA"/>
    <w:rsid w:val="00E424FC"/>
    <w:rsid w:val="00E4648E"/>
    <w:rsid w:val="00E653D0"/>
    <w:rsid w:val="00E719D7"/>
    <w:rsid w:val="00E724E8"/>
    <w:rsid w:val="00E73D82"/>
    <w:rsid w:val="00E84DEE"/>
    <w:rsid w:val="00E87D07"/>
    <w:rsid w:val="00E901ED"/>
    <w:rsid w:val="00E924C4"/>
    <w:rsid w:val="00E96A8A"/>
    <w:rsid w:val="00E973A5"/>
    <w:rsid w:val="00EA11F0"/>
    <w:rsid w:val="00EA1A30"/>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13FF9"/>
    <w:rsid w:val="00F239AB"/>
    <w:rsid w:val="00F26399"/>
    <w:rsid w:val="00F305E8"/>
    <w:rsid w:val="00F33A27"/>
    <w:rsid w:val="00F37065"/>
    <w:rsid w:val="00F376DA"/>
    <w:rsid w:val="00F45FFA"/>
    <w:rsid w:val="00F53790"/>
    <w:rsid w:val="00F541C7"/>
    <w:rsid w:val="00F61A8B"/>
    <w:rsid w:val="00F61F9E"/>
    <w:rsid w:val="00F62711"/>
    <w:rsid w:val="00F719A8"/>
    <w:rsid w:val="00F75237"/>
    <w:rsid w:val="00F77294"/>
    <w:rsid w:val="00F9486A"/>
    <w:rsid w:val="00F974BB"/>
    <w:rsid w:val="00FA5539"/>
    <w:rsid w:val="00FB2F72"/>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A03B3-5AE6-46D5-B76C-558B0E2C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929</Words>
  <Characters>5216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SGO</dc:creator>
  <cp:keywords/>
  <dc:description/>
  <cp:lastModifiedBy>Gabriel Enrique Moyano Fontecha</cp:lastModifiedBy>
  <cp:revision>6</cp:revision>
  <cp:lastPrinted>2011-05-25T12:56:00Z</cp:lastPrinted>
  <dcterms:created xsi:type="dcterms:W3CDTF">2019-08-30T15:45:00Z</dcterms:created>
  <dcterms:modified xsi:type="dcterms:W3CDTF">2022-10-28T18:02:00Z</dcterms:modified>
</cp:coreProperties>
</file>